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B33B" w14:textId="77777777" w:rsidR="00D419ED" w:rsidRDefault="00D419ED" w:rsidP="00D419ED"/>
    <w:p w14:paraId="17F2E1B6" w14:textId="4BDD7641" w:rsidR="00D419ED" w:rsidRPr="00573DEE" w:rsidRDefault="00D419ED" w:rsidP="00D419ED">
      <w:pPr>
        <w:jc w:val="center"/>
        <w:rPr>
          <w:rFonts w:ascii="Times New Roman" w:hAnsi="Times New Roman" w:cs="Times New Roman"/>
          <w:b/>
          <w:sz w:val="28"/>
          <w:szCs w:val="24"/>
        </w:rPr>
      </w:pPr>
      <w:r w:rsidRPr="00573DEE">
        <w:rPr>
          <w:rFonts w:ascii="Times New Roman" w:hAnsi="Times New Roman" w:cs="Times New Roman"/>
          <w:b/>
          <w:noProof/>
          <w:sz w:val="28"/>
          <w:szCs w:val="24"/>
        </w:rPr>
        <mc:AlternateContent>
          <mc:Choice Requires="wps">
            <w:drawing>
              <wp:anchor distT="0" distB="0" distL="114300" distR="114300" simplePos="0" relativeHeight="251660288" behindDoc="0" locked="0" layoutInCell="1" allowOverlap="1" wp14:anchorId="02688E94" wp14:editId="003279DE">
                <wp:simplePos x="0" y="0"/>
                <wp:positionH relativeFrom="column">
                  <wp:posOffset>-104775</wp:posOffset>
                </wp:positionH>
                <wp:positionV relativeFrom="paragraph">
                  <wp:posOffset>581025</wp:posOffset>
                </wp:positionV>
                <wp:extent cx="6257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C9F1DC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45.75pt" to="484.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oquAEAAGcDAAAOAAAAZHJzL2Uyb0RvYy54bWysU8mO2zAMvRfoPwi6N3aCZjox4gzQCdJL&#10;lwGm/QBGi21AG0Q1Tv6+lOxkpu2t6EUWSfGR75HePpytYScVcfCu5ctFzZlywsvBdS3/8f3w7p4z&#10;TOAkGO9Uyy8K+cPu7ZvtGBq18r03UkVGIA6bMbS8Tyk0VYWiVxZw4YNyFNQ+Wkhkxq6SEUZCt6Za&#10;1fVdNfooQ/RCIZJ3PwX5ruBrrUT6pjWqxEzLqbdUzljOYz6r3RaaLkLoBzG3Af/QhYXBUdEb1B4S&#10;sJ9x+AvKDiJ69DothLeV13oQqnAgNsv6DzbPPQRVuJA4GG4y4f+DFV9Pj+4pkgxjwAbDU8wszjra&#10;/KX+2LmIdbmJpc6JCXLerdYfNqs1Z+Iaq14SQ8T0SXnL8qXlZnCZBzRw+oyJitHT65Psdv4wGFNm&#10;YRwbW75ZF2SgjdAGEhWxQbYcXccZmI5WTaRYENGbQebsjIOxOz6ayE5A435/uF9+3E+PepBq8m7W&#10;dT2PHSF98XJyL+urn1qbYUqbv+HnnveA/ZRTQnmDKMW4XF+VjZspvgiab0cvL0XnKls0zZI2b15e&#10;l9c23V//H7tfAAAA//8DAFBLAwQUAAYACAAAACEAEPLxYOAAAAAJAQAADwAAAGRycy9kb3ducmV2&#10;LnhtbEyPQU/CQBCF7yb+h82YeINtTai0dkuUBOLFRMBwXrpDW+zONt0Fan+9YzzoaTLzXt58L18M&#10;thUX7H3jSEE8jUAglc40VCn42K0mcxA+aDK6dYQKvtDDori9yXVm3JU2eNmGSnAI+UwrqEPoMil9&#10;WaPVfuo6JNaOrrc68NpX0vT6yuG2lQ9RlEirG+IPte5wWWP5uT1bBaOZL99f6/X49rJ/HGeV363W&#10;+5NS93fD8xOIgEP4M8MPPqNDwUwHdybjRatgEicztipIY55sSJOUyx1+D7LI5f8GxTcAAAD//wMA&#10;UEsBAi0AFAAGAAgAAAAhALaDOJL+AAAA4QEAABMAAAAAAAAAAAAAAAAAAAAAAFtDb250ZW50X1R5&#10;cGVzXS54bWxQSwECLQAUAAYACAAAACEAOP0h/9YAAACUAQAACwAAAAAAAAAAAAAAAAAvAQAAX3Jl&#10;bHMvLnJlbHNQSwECLQAUAAYACAAAACEAeVhKKrgBAABnAwAADgAAAAAAAAAAAAAAAAAuAgAAZHJz&#10;L2Uyb0RvYy54bWxQSwECLQAUAAYACAAAACEAEPLxYOAAAAAJAQAADwAAAAAAAAAAAAAAAAASBAAA&#10;ZHJzL2Rvd25yZXYueG1sUEsFBgAAAAAEAAQA8wAAAB8FAAAAAA==&#10;" strokecolor="#4a7ebb"/>
            </w:pict>
          </mc:Fallback>
        </mc:AlternateContent>
      </w:r>
      <w:r w:rsidRPr="00573DEE">
        <w:rPr>
          <w:rFonts w:ascii="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2B79F2AC" wp14:editId="005F83BA">
                <wp:simplePos x="0" y="0"/>
                <wp:positionH relativeFrom="column">
                  <wp:posOffset>-104776</wp:posOffset>
                </wp:positionH>
                <wp:positionV relativeFrom="paragraph">
                  <wp:posOffset>-152400</wp:posOffset>
                </wp:positionV>
                <wp:extent cx="6257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9C7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2pt" to="4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BFMkBA4AAAAAsBAAAPAAAAZHJzL2Rvd25yZXYueG1sTI9BS8NAEIXvgv9hGcFbu2nQYGM2pRTE&#10;WpBiFepxmx2TaHY27G6b9N87gqC3NzOPN98rFqPtxAl9aB0pmE0TEEiVMy3VCt5eHyZ3IELUZHTn&#10;CBWcMcCivLwodG7cQC942sVacAiFXCtoYuxzKUPVoNVh6nokvn04b3Xk0dfSeD1wuO1kmiSZtLol&#10;/tDoHlcNVl+7o1Xw7Nfr1XJz/qTtux326Wa/fRoflbq+Gpf3ICKO8c8MP/iMDiUzHdyRTBCdgsks&#10;u2Uri/SGS7Fjns1ZHH43sizk/w7lNwAAAP//AwBQSwECLQAUAAYACAAAACEAtoM4kv4AAADhAQAA&#10;EwAAAAAAAAAAAAAAAAAAAAAAW0NvbnRlbnRfVHlwZXNdLnhtbFBLAQItABQABgAIAAAAIQA4/SH/&#10;1gAAAJQBAAALAAAAAAAAAAAAAAAAAC8BAABfcmVscy8ucmVsc1BLAQItABQABgAIAAAAIQBV6xEn&#10;nAEAAJQDAAAOAAAAAAAAAAAAAAAAAC4CAABkcnMvZTJvRG9jLnhtbFBLAQItABQABgAIAAAAIQBF&#10;MkBA4AAAAAsBAAAPAAAAAAAAAAAAAAAAAPYDAABkcnMvZG93bnJldi54bWxQSwUGAAAAAAQABADz&#10;AAAAAwUAAAAA&#10;" strokecolor="#156082 [3204]" strokeweight=".5pt">
                <v:stroke joinstyle="miter"/>
              </v:line>
            </w:pict>
          </mc:Fallback>
        </mc:AlternateContent>
      </w:r>
      <w:r w:rsidRPr="00573DEE">
        <w:rPr>
          <w:rFonts w:ascii="Times New Roman" w:hAnsi="Times New Roman" w:cs="Times New Roman"/>
          <w:b/>
          <w:sz w:val="28"/>
          <w:szCs w:val="24"/>
        </w:rPr>
        <w:t>Summary of Content Changes</w:t>
      </w:r>
      <w:r w:rsidRPr="00573DEE">
        <w:rPr>
          <w:rFonts w:ascii="Times New Roman" w:hAnsi="Times New Roman" w:cs="Times New Roman"/>
          <w:b/>
          <w:sz w:val="28"/>
          <w:szCs w:val="24"/>
        </w:rPr>
        <w:br/>
        <w:t>202</w:t>
      </w:r>
      <w:r>
        <w:rPr>
          <w:rFonts w:ascii="Times New Roman" w:hAnsi="Times New Roman" w:cs="Times New Roman"/>
          <w:b/>
          <w:sz w:val="28"/>
          <w:szCs w:val="24"/>
        </w:rPr>
        <w:t>4</w:t>
      </w:r>
      <w:r w:rsidRPr="00573DEE">
        <w:rPr>
          <w:rFonts w:ascii="Times New Roman" w:hAnsi="Times New Roman" w:cs="Times New Roman"/>
          <w:b/>
          <w:sz w:val="28"/>
          <w:szCs w:val="24"/>
        </w:rPr>
        <w:t>.</w:t>
      </w:r>
      <w:r w:rsidR="00E342BA">
        <w:rPr>
          <w:rFonts w:ascii="Times New Roman" w:hAnsi="Times New Roman" w:cs="Times New Roman"/>
          <w:b/>
          <w:sz w:val="28"/>
          <w:szCs w:val="24"/>
        </w:rPr>
        <w:t>4</w:t>
      </w:r>
      <w:r w:rsidRPr="00573DEE">
        <w:rPr>
          <w:rFonts w:ascii="Times New Roman" w:hAnsi="Times New Roman" w:cs="Times New Roman"/>
          <w:b/>
          <w:sz w:val="28"/>
          <w:szCs w:val="24"/>
        </w:rPr>
        <w:t xml:space="preserve"> Update – </w:t>
      </w:r>
      <w:r w:rsidR="00E342BA">
        <w:rPr>
          <w:rFonts w:ascii="Times New Roman" w:hAnsi="Times New Roman" w:cs="Times New Roman"/>
          <w:b/>
          <w:sz w:val="28"/>
          <w:szCs w:val="24"/>
        </w:rPr>
        <w:t>December</w:t>
      </w:r>
      <w:r>
        <w:rPr>
          <w:rFonts w:ascii="Times New Roman" w:hAnsi="Times New Roman" w:cs="Times New Roman"/>
          <w:b/>
          <w:sz w:val="28"/>
          <w:szCs w:val="24"/>
        </w:rPr>
        <w:t xml:space="preserve"> 2024</w:t>
      </w:r>
    </w:p>
    <w:p w14:paraId="5BC9BF95" w14:textId="77777777" w:rsidR="00D419ED" w:rsidRPr="00573DEE" w:rsidRDefault="00D419ED" w:rsidP="00D419ED">
      <w:pPr>
        <w:rPr>
          <w:rFonts w:ascii="Times New Roman" w:hAnsi="Times New Roman" w:cs="Times New Roman"/>
          <w:b/>
          <w:sz w:val="24"/>
          <w:szCs w:val="24"/>
          <w:u w:val="single"/>
        </w:rPr>
      </w:pPr>
    </w:p>
    <w:p w14:paraId="65C7A75F" w14:textId="77777777" w:rsidR="00D419ED" w:rsidRPr="00573DEE" w:rsidRDefault="00D419ED" w:rsidP="00D419ED">
      <w:pPr>
        <w:rPr>
          <w:rFonts w:cstheme="minorHAnsi"/>
          <w:b/>
          <w:sz w:val="24"/>
          <w:szCs w:val="24"/>
          <w:u w:val="single"/>
        </w:rPr>
      </w:pPr>
      <w:r w:rsidRPr="00573DEE">
        <w:rPr>
          <w:rFonts w:cstheme="minorHAnsi"/>
          <w:b/>
          <w:sz w:val="24"/>
          <w:szCs w:val="24"/>
          <w:u w:val="single"/>
        </w:rPr>
        <w:t>General Notes</w:t>
      </w:r>
    </w:p>
    <w:p w14:paraId="376CC519" w14:textId="77777777" w:rsidR="00D419ED" w:rsidRPr="00573DEE" w:rsidRDefault="00D419ED" w:rsidP="00D419ED">
      <w:pPr>
        <w:rPr>
          <w:rFonts w:cstheme="minorHAnsi"/>
          <w:sz w:val="24"/>
          <w:szCs w:val="24"/>
        </w:rPr>
      </w:pPr>
      <w:r w:rsidRPr="00573DEE">
        <w:rPr>
          <w:rFonts w:cstheme="minorHAnsi"/>
          <w:sz w:val="24"/>
          <w:szCs w:val="24"/>
        </w:rPr>
        <w:t>As usual, this quarterly update contains policy revisions related to threshold changes that occur every year, as further outlined in more detail below:</w:t>
      </w:r>
    </w:p>
    <w:p w14:paraId="62D224E6" w14:textId="2602DA02" w:rsidR="00D419ED" w:rsidRPr="00573DEE" w:rsidRDefault="00D419ED" w:rsidP="00D419ED">
      <w:pPr>
        <w:pStyle w:val="ListParagraph"/>
        <w:numPr>
          <w:ilvl w:val="0"/>
          <w:numId w:val="1"/>
        </w:numPr>
        <w:rPr>
          <w:rFonts w:cstheme="minorHAnsi"/>
          <w:sz w:val="24"/>
          <w:szCs w:val="24"/>
        </w:rPr>
      </w:pPr>
      <w:hyperlink r:id="rId5" w:history="1">
        <w:r w:rsidRPr="00573DEE">
          <w:rPr>
            <w:rStyle w:val="Hyperlink"/>
            <w:rFonts w:cstheme="minorHAnsi"/>
            <w:sz w:val="24"/>
            <w:szCs w:val="24"/>
          </w:rPr>
          <w:t>Regulation Z – Appraisals for HPMLs Exemption Threshold</w:t>
        </w:r>
      </w:hyperlink>
      <w:r w:rsidRPr="00573DEE">
        <w:rPr>
          <w:rFonts w:cstheme="minorHAnsi"/>
          <w:sz w:val="24"/>
          <w:szCs w:val="24"/>
        </w:rPr>
        <w:t xml:space="preserve"> is reviewed each year and is typically adjusted based on inflation.  HPMLs under this threshold are not required to have an appraisal conducted under the rules.  The loan amount for 202</w:t>
      </w:r>
      <w:r w:rsidR="007C1ABB">
        <w:rPr>
          <w:rFonts w:cstheme="minorHAnsi"/>
          <w:sz w:val="24"/>
          <w:szCs w:val="24"/>
        </w:rPr>
        <w:t>5</w:t>
      </w:r>
      <w:r w:rsidRPr="00573DEE">
        <w:rPr>
          <w:rFonts w:cstheme="minorHAnsi"/>
          <w:sz w:val="24"/>
          <w:szCs w:val="24"/>
        </w:rPr>
        <w:t xml:space="preserve"> increased to $</w:t>
      </w:r>
      <w:r>
        <w:rPr>
          <w:rFonts w:cstheme="minorHAnsi"/>
          <w:sz w:val="24"/>
          <w:szCs w:val="24"/>
        </w:rPr>
        <w:t>3</w:t>
      </w:r>
      <w:r w:rsidR="007C1ABB">
        <w:rPr>
          <w:rFonts w:cstheme="minorHAnsi"/>
          <w:sz w:val="24"/>
          <w:szCs w:val="24"/>
        </w:rPr>
        <w:t>3,500</w:t>
      </w:r>
      <w:r w:rsidRPr="00573DEE">
        <w:rPr>
          <w:rFonts w:cstheme="minorHAnsi"/>
          <w:sz w:val="24"/>
          <w:szCs w:val="24"/>
        </w:rPr>
        <w:t xml:space="preserve">.  </w:t>
      </w:r>
      <w:r>
        <w:rPr>
          <w:rFonts w:cstheme="minorHAnsi"/>
          <w:sz w:val="24"/>
          <w:szCs w:val="24"/>
        </w:rPr>
        <w:br/>
        <w:t xml:space="preserve"> </w:t>
      </w:r>
    </w:p>
    <w:p w14:paraId="32DE7D12" w14:textId="35058C23" w:rsidR="00D419ED" w:rsidRPr="00573DEE" w:rsidRDefault="00D419ED" w:rsidP="00D419ED">
      <w:pPr>
        <w:pStyle w:val="ListParagraph"/>
        <w:numPr>
          <w:ilvl w:val="0"/>
          <w:numId w:val="1"/>
        </w:numPr>
        <w:spacing w:line="256" w:lineRule="auto"/>
        <w:rPr>
          <w:rFonts w:cstheme="minorHAnsi"/>
          <w:sz w:val="24"/>
          <w:szCs w:val="24"/>
        </w:rPr>
      </w:pPr>
      <w:hyperlink r:id="rId6" w:history="1">
        <w:r w:rsidRPr="00573DEE">
          <w:rPr>
            <w:rStyle w:val="Hyperlink"/>
            <w:rFonts w:cstheme="minorHAnsi"/>
            <w:sz w:val="24"/>
            <w:szCs w:val="24"/>
          </w:rPr>
          <w:t>Regulation Z – High-Cost Mortgage Loan Fee Threshold</w:t>
        </w:r>
      </w:hyperlink>
      <w:r w:rsidRPr="00573DEE">
        <w:rPr>
          <w:rFonts w:cstheme="minorHAnsi"/>
          <w:sz w:val="24"/>
          <w:szCs w:val="24"/>
        </w:rPr>
        <w:t>.  Credit unions originating a high-cost mortgage have loans with points and fees that exceed thresholds established by the CFPB.  These are adjusted annually.  Effective on January 1, 202</w:t>
      </w:r>
      <w:r w:rsidR="000A5AE0">
        <w:rPr>
          <w:rFonts w:cstheme="minorHAnsi"/>
          <w:sz w:val="24"/>
          <w:szCs w:val="24"/>
        </w:rPr>
        <w:t>5</w:t>
      </w:r>
      <w:r w:rsidRPr="00573DEE">
        <w:rPr>
          <w:rFonts w:cstheme="minorHAnsi"/>
          <w:sz w:val="24"/>
          <w:szCs w:val="24"/>
        </w:rPr>
        <w:t xml:space="preserve">, a transaction is high-cost if its points and fees exceed: </w:t>
      </w:r>
    </w:p>
    <w:p w14:paraId="1C70FC80" w14:textId="1C14B056" w:rsidR="00D419ED" w:rsidRPr="00573DEE" w:rsidRDefault="00D419ED" w:rsidP="00D419ED">
      <w:pPr>
        <w:pStyle w:val="ListParagraph"/>
        <w:numPr>
          <w:ilvl w:val="1"/>
          <w:numId w:val="1"/>
        </w:numPr>
        <w:spacing w:line="256" w:lineRule="auto"/>
        <w:rPr>
          <w:rFonts w:cstheme="minorHAnsi"/>
          <w:sz w:val="24"/>
          <w:szCs w:val="24"/>
        </w:rPr>
      </w:pPr>
      <w:r w:rsidRPr="00573DEE">
        <w:rPr>
          <w:rFonts w:cstheme="minorHAnsi"/>
          <w:sz w:val="24"/>
          <w:szCs w:val="24"/>
        </w:rPr>
        <w:t>5% of the total loan amount for a loan greater than or equal to $</w:t>
      </w:r>
      <w:r>
        <w:rPr>
          <w:rFonts w:cstheme="minorHAnsi"/>
          <w:sz w:val="24"/>
          <w:szCs w:val="24"/>
        </w:rPr>
        <w:t>26</w:t>
      </w:r>
      <w:r w:rsidR="000703DC">
        <w:rPr>
          <w:rFonts w:cstheme="minorHAnsi"/>
          <w:sz w:val="24"/>
          <w:szCs w:val="24"/>
        </w:rPr>
        <w:t>,968</w:t>
      </w:r>
      <w:r>
        <w:rPr>
          <w:rFonts w:cstheme="minorHAnsi"/>
          <w:sz w:val="24"/>
          <w:szCs w:val="24"/>
        </w:rPr>
        <w:t>.</w:t>
      </w:r>
    </w:p>
    <w:p w14:paraId="35936FA0" w14:textId="63BFB123" w:rsidR="00D419ED" w:rsidRPr="008D34DD" w:rsidRDefault="00D419ED" w:rsidP="00D419ED">
      <w:pPr>
        <w:pStyle w:val="ListParagraph"/>
        <w:numPr>
          <w:ilvl w:val="1"/>
          <w:numId w:val="1"/>
        </w:numPr>
        <w:spacing w:line="256" w:lineRule="auto"/>
        <w:rPr>
          <w:rFonts w:cstheme="minorHAnsi"/>
          <w:sz w:val="24"/>
          <w:szCs w:val="24"/>
        </w:rPr>
      </w:pPr>
      <w:r w:rsidRPr="008D34DD">
        <w:rPr>
          <w:rFonts w:cstheme="minorHAnsi"/>
          <w:sz w:val="24"/>
          <w:szCs w:val="24"/>
        </w:rPr>
        <w:t>8% of the total loan amount or $</w:t>
      </w:r>
      <w:r>
        <w:rPr>
          <w:rFonts w:cstheme="minorHAnsi"/>
          <w:sz w:val="24"/>
          <w:szCs w:val="24"/>
        </w:rPr>
        <w:t>1,3</w:t>
      </w:r>
      <w:r w:rsidR="000703DC">
        <w:rPr>
          <w:rFonts w:cstheme="minorHAnsi"/>
          <w:sz w:val="24"/>
          <w:szCs w:val="24"/>
        </w:rPr>
        <w:t>48</w:t>
      </w:r>
      <w:r w:rsidRPr="008D34DD">
        <w:rPr>
          <w:rFonts w:cstheme="minorHAnsi"/>
          <w:sz w:val="24"/>
          <w:szCs w:val="24"/>
        </w:rPr>
        <w:t xml:space="preserve"> (whichever is less) for a loan amount less than $</w:t>
      </w:r>
      <w:r>
        <w:rPr>
          <w:rFonts w:cstheme="minorHAnsi"/>
          <w:sz w:val="24"/>
          <w:szCs w:val="24"/>
        </w:rPr>
        <w:t>26,</w:t>
      </w:r>
      <w:r w:rsidR="00926A6D">
        <w:rPr>
          <w:rFonts w:cstheme="minorHAnsi"/>
          <w:sz w:val="24"/>
          <w:szCs w:val="24"/>
        </w:rPr>
        <w:t>968</w:t>
      </w:r>
      <w:r w:rsidRPr="008D34DD">
        <w:rPr>
          <w:rFonts w:cstheme="minorHAnsi"/>
          <w:sz w:val="24"/>
          <w:szCs w:val="24"/>
        </w:rPr>
        <w:t>.</w:t>
      </w:r>
      <w:r w:rsidRPr="008D34DD">
        <w:rPr>
          <w:rFonts w:cstheme="minorHAnsi"/>
          <w:sz w:val="24"/>
          <w:szCs w:val="24"/>
        </w:rPr>
        <w:br/>
        <w:t xml:space="preserve"> </w:t>
      </w:r>
    </w:p>
    <w:p w14:paraId="742E1EA5" w14:textId="4125CCFF" w:rsidR="00D419ED" w:rsidRPr="00573DEE" w:rsidRDefault="00D419ED" w:rsidP="00D419ED">
      <w:pPr>
        <w:pStyle w:val="ListParagraph"/>
        <w:numPr>
          <w:ilvl w:val="0"/>
          <w:numId w:val="1"/>
        </w:numPr>
        <w:spacing w:line="256" w:lineRule="auto"/>
        <w:rPr>
          <w:rFonts w:cstheme="minorHAnsi"/>
          <w:sz w:val="24"/>
          <w:szCs w:val="24"/>
        </w:rPr>
      </w:pPr>
      <w:hyperlink r:id="rId7" w:history="1">
        <w:r w:rsidRPr="00573DEE">
          <w:rPr>
            <w:rStyle w:val="Hyperlink"/>
            <w:rFonts w:cstheme="minorHAnsi"/>
            <w:sz w:val="24"/>
            <w:szCs w:val="24"/>
          </w:rPr>
          <w:t xml:space="preserve">Regulation Z – Qualified Mortgage Thresholds. </w:t>
        </w:r>
      </w:hyperlink>
      <w:r w:rsidRPr="00573DEE">
        <w:rPr>
          <w:rFonts w:cstheme="minorHAnsi"/>
          <w:sz w:val="24"/>
          <w:szCs w:val="24"/>
        </w:rPr>
        <w:t xml:space="preserve"> Under the ability to repay rules, credit unions are provided with a safe harbor if they originate a qualified mortgage.  Among other criteria, the loan is considered a qualified mortgage if the loan’s points and fees are below certain thresholds.  Those thresholds are adjusted annually.  Effective on January 1, 202</w:t>
      </w:r>
      <w:r w:rsidR="00D01953">
        <w:rPr>
          <w:rFonts w:cstheme="minorHAnsi"/>
          <w:sz w:val="24"/>
          <w:szCs w:val="24"/>
        </w:rPr>
        <w:t>5</w:t>
      </w:r>
      <w:r w:rsidRPr="00573DEE">
        <w:rPr>
          <w:rFonts w:cstheme="minorHAnsi"/>
          <w:sz w:val="24"/>
          <w:szCs w:val="24"/>
        </w:rPr>
        <w:t>:</w:t>
      </w:r>
    </w:p>
    <w:tbl>
      <w:tblPr>
        <w:tblW w:w="5184" w:type="dxa"/>
        <w:jc w:val="center"/>
        <w:tblCellMar>
          <w:left w:w="0" w:type="dxa"/>
          <w:right w:w="0" w:type="dxa"/>
        </w:tblCellMar>
        <w:tblLook w:val="0420" w:firstRow="1" w:lastRow="0" w:firstColumn="0" w:lastColumn="0" w:noHBand="0" w:noVBand="1"/>
      </w:tblPr>
      <w:tblGrid>
        <w:gridCol w:w="2592"/>
        <w:gridCol w:w="2592"/>
      </w:tblGrid>
      <w:tr w:rsidR="000703DC" w:rsidRPr="00573DEE" w14:paraId="3A994467" w14:textId="77777777" w:rsidTr="00C32A47">
        <w:trPr>
          <w:trHeight w:val="295"/>
          <w:jc w:val="center"/>
        </w:trPr>
        <w:tc>
          <w:tcPr>
            <w:tcW w:w="25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9A7FB9E"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Loan Amount</w:t>
            </w:r>
          </w:p>
        </w:tc>
        <w:tc>
          <w:tcPr>
            <w:tcW w:w="25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C6C8790"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Points and Fees Limit</w:t>
            </w:r>
          </w:p>
        </w:tc>
      </w:tr>
      <w:tr w:rsidR="000703DC" w:rsidRPr="00573DEE" w14:paraId="7F1B829C" w14:textId="77777777" w:rsidTr="00C32A47">
        <w:trPr>
          <w:trHeight w:val="144"/>
          <w:jc w:val="center"/>
        </w:trPr>
        <w:tc>
          <w:tcPr>
            <w:tcW w:w="259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4E1F9E3"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w:t>
            </w:r>
            <w:r>
              <w:rPr>
                <w:rFonts w:cstheme="minorHAnsi"/>
                <w:b/>
                <w:bCs/>
                <w:sz w:val="24"/>
                <w:szCs w:val="24"/>
              </w:rPr>
              <w:t xml:space="preserve">134,841 </w:t>
            </w:r>
            <w:r w:rsidRPr="00573DEE">
              <w:rPr>
                <w:rFonts w:cstheme="minorHAnsi"/>
                <w:b/>
                <w:bCs/>
                <w:sz w:val="24"/>
                <w:szCs w:val="24"/>
              </w:rPr>
              <w:t>or more</w:t>
            </w:r>
          </w:p>
        </w:tc>
        <w:tc>
          <w:tcPr>
            <w:tcW w:w="259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C3C4479"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3%</w:t>
            </w:r>
          </w:p>
        </w:tc>
      </w:tr>
      <w:tr w:rsidR="000703DC" w:rsidRPr="00573DEE" w14:paraId="23750030" w14:textId="77777777" w:rsidTr="00C32A47">
        <w:trPr>
          <w:trHeight w:val="144"/>
          <w:jc w:val="center"/>
        </w:trPr>
        <w:tc>
          <w:tcPr>
            <w:tcW w:w="25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D6EA4C3"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w:t>
            </w:r>
            <w:r>
              <w:rPr>
                <w:rFonts w:cstheme="minorHAnsi"/>
                <w:b/>
                <w:bCs/>
                <w:sz w:val="24"/>
                <w:szCs w:val="24"/>
              </w:rPr>
              <w:t>80,905</w:t>
            </w:r>
            <w:r w:rsidRPr="00573DEE">
              <w:rPr>
                <w:rFonts w:cstheme="minorHAnsi"/>
                <w:b/>
                <w:bCs/>
                <w:sz w:val="24"/>
                <w:szCs w:val="24"/>
              </w:rPr>
              <w:t xml:space="preserve"> - $</w:t>
            </w:r>
            <w:r>
              <w:rPr>
                <w:rFonts w:cstheme="minorHAnsi"/>
                <w:b/>
                <w:bCs/>
                <w:sz w:val="24"/>
                <w:szCs w:val="24"/>
              </w:rPr>
              <w:t>134,840</w:t>
            </w:r>
          </w:p>
        </w:tc>
        <w:tc>
          <w:tcPr>
            <w:tcW w:w="25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8B3C40C"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w:t>
            </w:r>
            <w:r>
              <w:rPr>
                <w:rFonts w:cstheme="minorHAnsi"/>
                <w:b/>
                <w:bCs/>
                <w:sz w:val="24"/>
                <w:szCs w:val="24"/>
              </w:rPr>
              <w:t>4,045</w:t>
            </w:r>
          </w:p>
        </w:tc>
      </w:tr>
      <w:tr w:rsidR="000703DC" w:rsidRPr="00573DEE" w14:paraId="72A6012D" w14:textId="77777777" w:rsidTr="00C32A47">
        <w:trPr>
          <w:trHeight w:val="144"/>
          <w:jc w:val="center"/>
        </w:trPr>
        <w:tc>
          <w:tcPr>
            <w:tcW w:w="25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A9506C8"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w:t>
            </w:r>
            <w:r>
              <w:rPr>
                <w:rFonts w:cstheme="minorHAnsi"/>
                <w:b/>
                <w:bCs/>
                <w:sz w:val="24"/>
                <w:szCs w:val="24"/>
              </w:rPr>
              <w:t>26,968</w:t>
            </w:r>
            <w:r w:rsidRPr="00573DEE">
              <w:rPr>
                <w:rFonts w:cstheme="minorHAnsi"/>
                <w:b/>
                <w:bCs/>
                <w:sz w:val="24"/>
                <w:szCs w:val="24"/>
              </w:rPr>
              <w:t xml:space="preserve"> - $</w:t>
            </w:r>
            <w:r>
              <w:rPr>
                <w:rFonts w:cstheme="minorHAnsi"/>
                <w:b/>
                <w:bCs/>
                <w:sz w:val="24"/>
                <w:szCs w:val="24"/>
              </w:rPr>
              <w:t>80,904</w:t>
            </w:r>
          </w:p>
        </w:tc>
        <w:tc>
          <w:tcPr>
            <w:tcW w:w="25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231FC3A"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5%</w:t>
            </w:r>
          </w:p>
        </w:tc>
      </w:tr>
      <w:tr w:rsidR="000703DC" w:rsidRPr="00573DEE" w14:paraId="66E9DB59" w14:textId="77777777" w:rsidTr="00C32A47">
        <w:trPr>
          <w:trHeight w:val="144"/>
          <w:jc w:val="center"/>
        </w:trPr>
        <w:tc>
          <w:tcPr>
            <w:tcW w:w="25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5881FD2"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w:t>
            </w:r>
            <w:r>
              <w:rPr>
                <w:rFonts w:cstheme="minorHAnsi"/>
                <w:b/>
                <w:bCs/>
                <w:sz w:val="24"/>
                <w:szCs w:val="24"/>
              </w:rPr>
              <w:t>16,855</w:t>
            </w:r>
            <w:r w:rsidRPr="00573DEE">
              <w:rPr>
                <w:rFonts w:cstheme="minorHAnsi"/>
                <w:b/>
                <w:bCs/>
                <w:sz w:val="24"/>
                <w:szCs w:val="24"/>
              </w:rPr>
              <w:t xml:space="preserve"> - $</w:t>
            </w:r>
            <w:r>
              <w:rPr>
                <w:rFonts w:cstheme="minorHAnsi"/>
                <w:b/>
                <w:bCs/>
                <w:sz w:val="24"/>
                <w:szCs w:val="24"/>
              </w:rPr>
              <w:t>26,967</w:t>
            </w:r>
          </w:p>
        </w:tc>
        <w:tc>
          <w:tcPr>
            <w:tcW w:w="25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2399A86"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w:t>
            </w:r>
            <w:r>
              <w:rPr>
                <w:rFonts w:cstheme="minorHAnsi"/>
                <w:b/>
                <w:bCs/>
                <w:sz w:val="24"/>
                <w:szCs w:val="24"/>
              </w:rPr>
              <w:t>1,348</w:t>
            </w:r>
          </w:p>
        </w:tc>
      </w:tr>
      <w:tr w:rsidR="000703DC" w:rsidRPr="00573DEE" w14:paraId="7633E834" w14:textId="77777777" w:rsidTr="00C32A47">
        <w:trPr>
          <w:trHeight w:val="144"/>
          <w:jc w:val="center"/>
        </w:trPr>
        <w:tc>
          <w:tcPr>
            <w:tcW w:w="25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490C8EA"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lastRenderedPageBreak/>
              <w:t>Less than $</w:t>
            </w:r>
            <w:r>
              <w:rPr>
                <w:rFonts w:cstheme="minorHAnsi"/>
                <w:b/>
                <w:bCs/>
                <w:sz w:val="24"/>
                <w:szCs w:val="24"/>
              </w:rPr>
              <w:t>16,855</w:t>
            </w:r>
          </w:p>
        </w:tc>
        <w:tc>
          <w:tcPr>
            <w:tcW w:w="25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1787BD8" w14:textId="77777777" w:rsidR="000703DC" w:rsidRPr="00573DEE" w:rsidRDefault="000703DC" w:rsidP="00C32A47">
            <w:pPr>
              <w:spacing w:line="256" w:lineRule="auto"/>
              <w:rPr>
                <w:rFonts w:cstheme="minorHAnsi"/>
                <w:sz w:val="24"/>
                <w:szCs w:val="24"/>
              </w:rPr>
            </w:pPr>
            <w:r w:rsidRPr="00573DEE">
              <w:rPr>
                <w:rFonts w:cstheme="minorHAnsi"/>
                <w:b/>
                <w:bCs/>
                <w:sz w:val="24"/>
                <w:szCs w:val="24"/>
              </w:rPr>
              <w:t>8%</w:t>
            </w:r>
          </w:p>
        </w:tc>
      </w:tr>
    </w:tbl>
    <w:p w14:paraId="5D90B173" w14:textId="77777777" w:rsidR="00D419ED" w:rsidRPr="00573DEE" w:rsidRDefault="00D419ED" w:rsidP="00D419ED">
      <w:pPr>
        <w:spacing w:line="256" w:lineRule="auto"/>
        <w:rPr>
          <w:rFonts w:cstheme="minorHAnsi"/>
          <w:sz w:val="24"/>
          <w:szCs w:val="24"/>
        </w:rPr>
      </w:pPr>
    </w:p>
    <w:p w14:paraId="12F46072" w14:textId="77777777" w:rsidR="00D419ED" w:rsidRPr="00573DEE" w:rsidRDefault="00D419ED" w:rsidP="00D419ED">
      <w:pPr>
        <w:spacing w:line="256" w:lineRule="auto"/>
        <w:ind w:left="720"/>
        <w:rPr>
          <w:rFonts w:cstheme="minorHAnsi"/>
          <w:sz w:val="24"/>
          <w:szCs w:val="24"/>
        </w:rPr>
      </w:pPr>
      <w:r w:rsidRPr="00573DEE">
        <w:rPr>
          <w:rFonts w:cstheme="minorHAnsi"/>
          <w:sz w:val="24"/>
          <w:szCs w:val="24"/>
        </w:rPr>
        <w:t xml:space="preserve">In addition, for the “general qualified mortgage” category, the </w:t>
      </w:r>
      <w:r>
        <w:rPr>
          <w:rFonts w:cstheme="minorHAnsi"/>
          <w:sz w:val="24"/>
          <w:szCs w:val="24"/>
        </w:rPr>
        <w:t xml:space="preserve">loan’s APR cannot exceed the threshold over the APOR for a </w:t>
      </w:r>
      <w:r w:rsidRPr="00573DEE">
        <w:rPr>
          <w:rFonts w:cstheme="minorHAnsi"/>
          <w:sz w:val="24"/>
          <w:szCs w:val="24"/>
        </w:rPr>
        <w:t>comparable transaction as of the date by which the interest rate is set:</w:t>
      </w:r>
    </w:p>
    <w:p w14:paraId="4424BCD2" w14:textId="20234E20" w:rsidR="00D419ED" w:rsidRPr="00573DEE" w:rsidRDefault="00D419ED" w:rsidP="00D419ED">
      <w:pPr>
        <w:numPr>
          <w:ilvl w:val="1"/>
          <w:numId w:val="2"/>
        </w:numPr>
        <w:spacing w:before="100" w:beforeAutospacing="1" w:after="100" w:afterAutospacing="1" w:line="240" w:lineRule="auto"/>
        <w:rPr>
          <w:rFonts w:eastAsia="Times New Roman" w:cstheme="minorHAnsi"/>
          <w:sz w:val="24"/>
          <w:szCs w:val="24"/>
        </w:rPr>
      </w:pPr>
      <w:r w:rsidRPr="00573DEE">
        <w:rPr>
          <w:rFonts w:eastAsia="Times New Roman" w:cstheme="minorHAnsi"/>
          <w:sz w:val="24"/>
          <w:szCs w:val="24"/>
        </w:rPr>
        <w:t>2.25% or more for a first-lien loan with an amount greater than or equal to $</w:t>
      </w:r>
      <w:r w:rsidR="00B9170B">
        <w:rPr>
          <w:rFonts w:eastAsia="Times New Roman" w:cstheme="minorHAnsi"/>
          <w:sz w:val="24"/>
          <w:szCs w:val="24"/>
        </w:rPr>
        <w:t>134,841</w:t>
      </w:r>
      <w:r w:rsidRPr="00573DEE">
        <w:rPr>
          <w:rFonts w:eastAsia="Times New Roman" w:cstheme="minorHAnsi"/>
          <w:sz w:val="24"/>
          <w:szCs w:val="24"/>
        </w:rPr>
        <w:t>;</w:t>
      </w:r>
      <w:r w:rsidRPr="00573DEE">
        <w:rPr>
          <w:rFonts w:eastAsia="Times New Roman" w:cstheme="minorHAnsi"/>
          <w:sz w:val="24"/>
          <w:szCs w:val="24"/>
        </w:rPr>
        <w:br/>
        <w:t> </w:t>
      </w:r>
    </w:p>
    <w:p w14:paraId="506CA219" w14:textId="49439477" w:rsidR="00D419ED" w:rsidRPr="00573DEE" w:rsidRDefault="00D419ED" w:rsidP="00D419ED">
      <w:pPr>
        <w:numPr>
          <w:ilvl w:val="1"/>
          <w:numId w:val="2"/>
        </w:numPr>
        <w:spacing w:before="100" w:beforeAutospacing="1" w:after="100" w:afterAutospacing="1" w:line="240" w:lineRule="auto"/>
        <w:rPr>
          <w:rFonts w:eastAsia="Times New Roman" w:cstheme="minorHAnsi"/>
          <w:sz w:val="24"/>
          <w:szCs w:val="24"/>
        </w:rPr>
      </w:pPr>
      <w:r w:rsidRPr="00573DEE">
        <w:rPr>
          <w:rFonts w:eastAsia="Times New Roman" w:cstheme="minorHAnsi"/>
          <w:sz w:val="24"/>
          <w:szCs w:val="24"/>
        </w:rPr>
        <w:t>3.5% or more for a first-lien loan with an amount equal to $</w:t>
      </w:r>
      <w:r w:rsidR="007451E0">
        <w:rPr>
          <w:rFonts w:eastAsia="Times New Roman" w:cstheme="minorHAnsi"/>
          <w:sz w:val="24"/>
          <w:szCs w:val="24"/>
        </w:rPr>
        <w:t>80,</w:t>
      </w:r>
      <w:r w:rsidR="0048365B">
        <w:rPr>
          <w:rFonts w:eastAsia="Times New Roman" w:cstheme="minorHAnsi"/>
          <w:sz w:val="24"/>
          <w:szCs w:val="24"/>
        </w:rPr>
        <w:t>905</w:t>
      </w:r>
      <w:r w:rsidRPr="00573DEE">
        <w:rPr>
          <w:rFonts w:eastAsia="Times New Roman" w:cstheme="minorHAnsi"/>
          <w:sz w:val="24"/>
          <w:szCs w:val="24"/>
        </w:rPr>
        <w:t xml:space="preserve"> but less than $</w:t>
      </w:r>
      <w:r w:rsidR="0048365B">
        <w:rPr>
          <w:rFonts w:eastAsia="Times New Roman" w:cstheme="minorHAnsi"/>
          <w:sz w:val="24"/>
          <w:szCs w:val="24"/>
        </w:rPr>
        <w:t>134,841</w:t>
      </w:r>
      <w:r w:rsidRPr="00573DEE">
        <w:rPr>
          <w:rFonts w:eastAsia="Times New Roman" w:cstheme="minorHAnsi"/>
          <w:sz w:val="24"/>
          <w:szCs w:val="24"/>
        </w:rPr>
        <w:t>;</w:t>
      </w:r>
      <w:r w:rsidRPr="00573DEE">
        <w:rPr>
          <w:rFonts w:eastAsia="Times New Roman" w:cstheme="minorHAnsi"/>
          <w:sz w:val="24"/>
          <w:szCs w:val="24"/>
        </w:rPr>
        <w:br/>
        <w:t> </w:t>
      </w:r>
    </w:p>
    <w:p w14:paraId="729382CE" w14:textId="562BEDA7" w:rsidR="00D419ED" w:rsidRPr="00573DEE" w:rsidRDefault="00D419ED" w:rsidP="00D419ED">
      <w:pPr>
        <w:numPr>
          <w:ilvl w:val="1"/>
          <w:numId w:val="2"/>
        </w:numPr>
        <w:spacing w:before="100" w:beforeAutospacing="1" w:after="100" w:afterAutospacing="1" w:line="240" w:lineRule="auto"/>
        <w:rPr>
          <w:rFonts w:eastAsia="Times New Roman" w:cstheme="minorHAnsi"/>
          <w:sz w:val="24"/>
          <w:szCs w:val="24"/>
        </w:rPr>
      </w:pPr>
      <w:r w:rsidRPr="00573DEE">
        <w:rPr>
          <w:rFonts w:eastAsia="Times New Roman" w:cstheme="minorHAnsi"/>
          <w:sz w:val="24"/>
          <w:szCs w:val="24"/>
        </w:rPr>
        <w:t>6.5% or more for a first-lien loan with an amount less than $</w:t>
      </w:r>
      <w:r w:rsidR="0048365B">
        <w:rPr>
          <w:rFonts w:eastAsia="Times New Roman" w:cstheme="minorHAnsi"/>
          <w:sz w:val="24"/>
          <w:szCs w:val="24"/>
        </w:rPr>
        <w:t>80,905</w:t>
      </w:r>
      <w:r w:rsidRPr="00573DEE">
        <w:rPr>
          <w:rFonts w:eastAsia="Times New Roman" w:cstheme="minorHAnsi"/>
          <w:sz w:val="24"/>
          <w:szCs w:val="24"/>
        </w:rPr>
        <w:t>;</w:t>
      </w:r>
      <w:r w:rsidRPr="00573DEE">
        <w:rPr>
          <w:rFonts w:eastAsia="Times New Roman" w:cstheme="minorHAnsi"/>
          <w:sz w:val="24"/>
          <w:szCs w:val="24"/>
        </w:rPr>
        <w:br/>
        <w:t> </w:t>
      </w:r>
    </w:p>
    <w:p w14:paraId="200DFDFE" w14:textId="09E97C8C" w:rsidR="00D419ED" w:rsidRPr="00573DEE" w:rsidRDefault="00D419ED" w:rsidP="00D419ED">
      <w:pPr>
        <w:numPr>
          <w:ilvl w:val="1"/>
          <w:numId w:val="2"/>
        </w:numPr>
        <w:spacing w:before="100" w:beforeAutospacing="1" w:after="100" w:afterAutospacing="1" w:line="240" w:lineRule="auto"/>
        <w:rPr>
          <w:rFonts w:eastAsia="Times New Roman" w:cstheme="minorHAnsi"/>
          <w:sz w:val="24"/>
          <w:szCs w:val="24"/>
        </w:rPr>
      </w:pPr>
      <w:r w:rsidRPr="00573DEE">
        <w:rPr>
          <w:rFonts w:eastAsia="Times New Roman" w:cstheme="minorHAnsi"/>
          <w:sz w:val="24"/>
          <w:szCs w:val="24"/>
        </w:rPr>
        <w:t>6.5% or more for a first-lien loan secured by a manufactured home with a loan amount less than $</w:t>
      </w:r>
      <w:r w:rsidR="00E27F40">
        <w:rPr>
          <w:rFonts w:eastAsia="Times New Roman" w:cstheme="minorHAnsi"/>
          <w:sz w:val="24"/>
          <w:szCs w:val="24"/>
        </w:rPr>
        <w:t>134,841</w:t>
      </w:r>
      <w:r w:rsidRPr="00573DEE">
        <w:rPr>
          <w:rFonts w:eastAsia="Times New Roman" w:cstheme="minorHAnsi"/>
          <w:sz w:val="24"/>
          <w:szCs w:val="24"/>
        </w:rPr>
        <w:t>;</w:t>
      </w:r>
      <w:r w:rsidRPr="00573DEE">
        <w:rPr>
          <w:rFonts w:eastAsia="Times New Roman" w:cstheme="minorHAnsi"/>
          <w:sz w:val="24"/>
          <w:szCs w:val="24"/>
        </w:rPr>
        <w:br/>
        <w:t> </w:t>
      </w:r>
    </w:p>
    <w:p w14:paraId="53D5B524" w14:textId="59EB9919" w:rsidR="00D419ED" w:rsidRPr="00573DEE" w:rsidRDefault="00D419ED" w:rsidP="00D419ED">
      <w:pPr>
        <w:numPr>
          <w:ilvl w:val="1"/>
          <w:numId w:val="2"/>
        </w:numPr>
        <w:spacing w:before="100" w:beforeAutospacing="1" w:after="100" w:afterAutospacing="1" w:line="240" w:lineRule="auto"/>
        <w:rPr>
          <w:rFonts w:eastAsia="Times New Roman" w:cstheme="minorHAnsi"/>
          <w:sz w:val="24"/>
          <w:szCs w:val="24"/>
        </w:rPr>
      </w:pPr>
      <w:r w:rsidRPr="00573DEE">
        <w:rPr>
          <w:rFonts w:eastAsia="Times New Roman" w:cstheme="minorHAnsi"/>
          <w:sz w:val="24"/>
          <w:szCs w:val="24"/>
        </w:rPr>
        <w:t>3.5% or more for a subordinate-lien loan with an amount greater than or equal to $</w:t>
      </w:r>
      <w:r w:rsidR="00E27F40">
        <w:rPr>
          <w:rFonts w:eastAsia="Times New Roman" w:cstheme="minorHAnsi"/>
          <w:sz w:val="24"/>
          <w:szCs w:val="24"/>
        </w:rPr>
        <w:t>80,905</w:t>
      </w:r>
      <w:r w:rsidRPr="00573DEE">
        <w:rPr>
          <w:rFonts w:eastAsia="Times New Roman" w:cstheme="minorHAnsi"/>
          <w:sz w:val="24"/>
          <w:szCs w:val="24"/>
        </w:rPr>
        <w:t>; or</w:t>
      </w:r>
      <w:r w:rsidRPr="00573DEE">
        <w:rPr>
          <w:rFonts w:eastAsia="Times New Roman" w:cstheme="minorHAnsi"/>
          <w:sz w:val="24"/>
          <w:szCs w:val="24"/>
        </w:rPr>
        <w:br/>
      </w:r>
    </w:p>
    <w:p w14:paraId="489304F0" w14:textId="1EAB1A48" w:rsidR="00D419ED" w:rsidRPr="00573DEE" w:rsidRDefault="00D419ED" w:rsidP="00D419ED">
      <w:pPr>
        <w:numPr>
          <w:ilvl w:val="1"/>
          <w:numId w:val="2"/>
        </w:numPr>
        <w:spacing w:before="100" w:beforeAutospacing="1" w:after="100" w:afterAutospacing="1" w:line="240" w:lineRule="auto"/>
        <w:rPr>
          <w:rFonts w:eastAsia="Times New Roman" w:cstheme="minorHAnsi"/>
          <w:sz w:val="24"/>
          <w:szCs w:val="24"/>
        </w:rPr>
      </w:pPr>
      <w:r w:rsidRPr="00573DEE">
        <w:rPr>
          <w:rFonts w:eastAsia="Times New Roman" w:cstheme="minorHAnsi"/>
          <w:sz w:val="24"/>
          <w:szCs w:val="24"/>
        </w:rPr>
        <w:t>6.5% or more for a subordinate-lien loan with an amount less than $</w:t>
      </w:r>
      <w:r w:rsidR="00E27F40">
        <w:rPr>
          <w:rFonts w:eastAsia="Times New Roman" w:cstheme="minorHAnsi"/>
          <w:sz w:val="24"/>
          <w:szCs w:val="24"/>
        </w:rPr>
        <w:t>80,905</w:t>
      </w:r>
      <w:r w:rsidRPr="00573DEE">
        <w:rPr>
          <w:rFonts w:eastAsia="Times New Roman" w:cstheme="minorHAnsi"/>
          <w:sz w:val="24"/>
          <w:szCs w:val="24"/>
        </w:rPr>
        <w:t>.</w:t>
      </w:r>
    </w:p>
    <w:p w14:paraId="4B314361" w14:textId="57717AA0" w:rsidR="00D419ED" w:rsidRPr="00573DEE" w:rsidRDefault="00D419ED" w:rsidP="00D419ED">
      <w:pPr>
        <w:pStyle w:val="ListParagraph"/>
        <w:numPr>
          <w:ilvl w:val="0"/>
          <w:numId w:val="1"/>
        </w:numPr>
        <w:spacing w:line="256" w:lineRule="auto"/>
        <w:rPr>
          <w:rFonts w:cstheme="minorHAnsi"/>
          <w:sz w:val="24"/>
          <w:szCs w:val="24"/>
        </w:rPr>
      </w:pPr>
      <w:hyperlink r:id="rId8" w:history="1">
        <w:r w:rsidRPr="00573DEE">
          <w:rPr>
            <w:rStyle w:val="Hyperlink"/>
            <w:rFonts w:cstheme="minorHAnsi"/>
            <w:sz w:val="24"/>
            <w:szCs w:val="24"/>
          </w:rPr>
          <w:t xml:space="preserve">IRS – Health Savings Accounts (HSA) Contribution Limits. </w:t>
        </w:r>
      </w:hyperlink>
      <w:r w:rsidRPr="00573DEE">
        <w:rPr>
          <w:rFonts w:cstheme="minorHAnsi"/>
          <w:sz w:val="24"/>
          <w:szCs w:val="24"/>
        </w:rPr>
        <w:t xml:space="preserve"> These limits are adjusted by the IRS annually.  Credit unions should ensure contributions to HSAs do not exceed these limits.  For January 1, 202</w:t>
      </w:r>
      <w:r w:rsidR="00BD4657">
        <w:rPr>
          <w:rFonts w:cstheme="minorHAnsi"/>
          <w:sz w:val="24"/>
          <w:szCs w:val="24"/>
        </w:rPr>
        <w:t>5</w:t>
      </w:r>
      <w:r w:rsidRPr="00573DEE">
        <w:rPr>
          <w:rFonts w:cstheme="minorHAnsi"/>
          <w:sz w:val="24"/>
          <w:szCs w:val="24"/>
        </w:rPr>
        <w:t>, contributions must be no more than $</w:t>
      </w:r>
      <w:r>
        <w:rPr>
          <w:rFonts w:cstheme="minorHAnsi"/>
          <w:sz w:val="24"/>
          <w:szCs w:val="24"/>
        </w:rPr>
        <w:t>4,</w:t>
      </w:r>
      <w:r w:rsidR="00496214">
        <w:rPr>
          <w:rFonts w:cstheme="minorHAnsi"/>
          <w:sz w:val="24"/>
          <w:szCs w:val="24"/>
        </w:rPr>
        <w:t>300</w:t>
      </w:r>
      <w:r w:rsidRPr="00573DEE">
        <w:rPr>
          <w:rFonts w:cstheme="minorHAnsi"/>
          <w:sz w:val="24"/>
          <w:szCs w:val="24"/>
        </w:rPr>
        <w:t xml:space="preserve"> for an individual </w:t>
      </w:r>
      <w:r w:rsidR="00496214">
        <w:rPr>
          <w:rFonts w:cstheme="minorHAnsi"/>
          <w:sz w:val="24"/>
          <w:szCs w:val="24"/>
        </w:rPr>
        <w:t>high-deduc</w:t>
      </w:r>
      <w:r w:rsidR="002866BB">
        <w:rPr>
          <w:rFonts w:cstheme="minorHAnsi"/>
          <w:sz w:val="24"/>
          <w:szCs w:val="24"/>
        </w:rPr>
        <w:t xml:space="preserve">tible </w:t>
      </w:r>
      <w:r w:rsidRPr="00573DEE">
        <w:rPr>
          <w:rFonts w:cstheme="minorHAnsi"/>
          <w:sz w:val="24"/>
          <w:szCs w:val="24"/>
        </w:rPr>
        <w:t>plan and $</w:t>
      </w:r>
      <w:r>
        <w:rPr>
          <w:rFonts w:cstheme="minorHAnsi"/>
          <w:sz w:val="24"/>
          <w:szCs w:val="24"/>
        </w:rPr>
        <w:t>8,</w:t>
      </w:r>
      <w:r w:rsidR="002866BB">
        <w:rPr>
          <w:rFonts w:cstheme="minorHAnsi"/>
          <w:sz w:val="24"/>
          <w:szCs w:val="24"/>
        </w:rPr>
        <w:t>550</w:t>
      </w:r>
      <w:r w:rsidRPr="00573DEE">
        <w:rPr>
          <w:rFonts w:cstheme="minorHAnsi"/>
          <w:sz w:val="24"/>
          <w:szCs w:val="24"/>
        </w:rPr>
        <w:t xml:space="preserve"> for a family plan.  This is an increase from 202</w:t>
      </w:r>
      <w:r w:rsidR="002866BB">
        <w:rPr>
          <w:rFonts w:cstheme="minorHAnsi"/>
          <w:sz w:val="24"/>
          <w:szCs w:val="24"/>
        </w:rPr>
        <w:t>4</w:t>
      </w:r>
      <w:r w:rsidRPr="00573DEE">
        <w:rPr>
          <w:rFonts w:cstheme="minorHAnsi"/>
          <w:sz w:val="24"/>
          <w:szCs w:val="24"/>
        </w:rPr>
        <w:t>.</w:t>
      </w:r>
      <w:r>
        <w:rPr>
          <w:rFonts w:cstheme="minorHAnsi"/>
          <w:sz w:val="24"/>
          <w:szCs w:val="24"/>
        </w:rPr>
        <w:br/>
        <w:t xml:space="preserve"> </w:t>
      </w:r>
    </w:p>
    <w:p w14:paraId="3BF2B210" w14:textId="48FE85F6" w:rsidR="00D419ED" w:rsidRPr="00573DEE" w:rsidRDefault="00D419ED" w:rsidP="00D419ED">
      <w:pPr>
        <w:pStyle w:val="ListParagraph"/>
        <w:numPr>
          <w:ilvl w:val="0"/>
          <w:numId w:val="1"/>
        </w:numPr>
        <w:spacing w:line="256" w:lineRule="auto"/>
        <w:rPr>
          <w:rFonts w:cstheme="minorHAnsi"/>
          <w:sz w:val="24"/>
          <w:szCs w:val="24"/>
        </w:rPr>
      </w:pPr>
      <w:hyperlink r:id="rId9" w:history="1">
        <w:r w:rsidRPr="00573DEE">
          <w:rPr>
            <w:rStyle w:val="Hyperlink"/>
            <w:rFonts w:cstheme="minorHAnsi"/>
            <w:sz w:val="24"/>
            <w:szCs w:val="24"/>
          </w:rPr>
          <w:t xml:space="preserve">Regulation M – Consumer Leasing. </w:t>
        </w:r>
      </w:hyperlink>
      <w:r w:rsidRPr="00573DEE">
        <w:rPr>
          <w:rFonts w:cstheme="minorHAnsi"/>
          <w:sz w:val="24"/>
          <w:szCs w:val="24"/>
        </w:rPr>
        <w:t xml:space="preserve"> The threshold for determining if a contract is considered a consumer lease is adjusted annually.  While there are no policies within CU PolicyPro to reflect this threshold, we are providing the reference for information only.  The amount will increase from the prior year for 202</w:t>
      </w:r>
      <w:r w:rsidR="0061524B">
        <w:rPr>
          <w:rFonts w:cstheme="minorHAnsi"/>
          <w:sz w:val="24"/>
          <w:szCs w:val="24"/>
        </w:rPr>
        <w:t>5</w:t>
      </w:r>
      <w:r w:rsidRPr="00573DEE">
        <w:rPr>
          <w:rFonts w:cstheme="minorHAnsi"/>
          <w:sz w:val="24"/>
          <w:szCs w:val="24"/>
        </w:rPr>
        <w:t xml:space="preserve"> to $</w:t>
      </w:r>
      <w:r w:rsidR="00BF681F">
        <w:rPr>
          <w:rFonts w:cstheme="minorHAnsi"/>
          <w:sz w:val="24"/>
          <w:szCs w:val="24"/>
        </w:rPr>
        <w:t>71,900</w:t>
      </w:r>
      <w:r>
        <w:rPr>
          <w:rFonts w:cstheme="minorHAnsi"/>
          <w:sz w:val="24"/>
          <w:szCs w:val="24"/>
        </w:rPr>
        <w:t xml:space="preserve">. </w:t>
      </w:r>
      <w:r>
        <w:rPr>
          <w:rFonts w:cstheme="minorHAnsi"/>
          <w:sz w:val="24"/>
          <w:szCs w:val="24"/>
        </w:rPr>
        <w:br/>
        <w:t xml:space="preserve"> </w:t>
      </w:r>
    </w:p>
    <w:p w14:paraId="68A5D0C6" w14:textId="26F77CCA" w:rsidR="00D419ED" w:rsidRPr="00573DEE" w:rsidRDefault="00D419ED" w:rsidP="00D419ED">
      <w:pPr>
        <w:pStyle w:val="ListParagraph"/>
        <w:numPr>
          <w:ilvl w:val="0"/>
          <w:numId w:val="1"/>
        </w:numPr>
        <w:spacing w:line="256" w:lineRule="auto"/>
        <w:rPr>
          <w:rFonts w:cstheme="minorHAnsi"/>
          <w:sz w:val="24"/>
          <w:szCs w:val="24"/>
        </w:rPr>
      </w:pPr>
      <w:hyperlink r:id="rId10" w:history="1">
        <w:r w:rsidRPr="00573DEE">
          <w:rPr>
            <w:rStyle w:val="Hyperlink"/>
            <w:rFonts w:cstheme="minorHAnsi"/>
            <w:sz w:val="24"/>
            <w:szCs w:val="24"/>
          </w:rPr>
          <w:t>Regulation Z – Asset Size Exemption</w:t>
        </w:r>
      </w:hyperlink>
      <w:r w:rsidRPr="00573DEE">
        <w:rPr>
          <w:rFonts w:cstheme="minorHAnsi"/>
          <w:sz w:val="24"/>
          <w:szCs w:val="24"/>
        </w:rPr>
        <w:t xml:space="preserve"> There is a threshold change for credit unions that qualify for an exemption to the requirement for establishing an escrow account for higher-priced mortgage loans (HPMLs).  This asset size threshold is $2.</w:t>
      </w:r>
      <w:r w:rsidR="002C5360">
        <w:rPr>
          <w:rFonts w:cstheme="minorHAnsi"/>
          <w:sz w:val="24"/>
          <w:szCs w:val="24"/>
        </w:rPr>
        <w:t>717</w:t>
      </w:r>
      <w:r w:rsidRPr="00573DEE">
        <w:rPr>
          <w:rFonts w:cstheme="minorHAnsi"/>
          <w:sz w:val="24"/>
          <w:szCs w:val="24"/>
        </w:rPr>
        <w:t xml:space="preserve"> billion for 202</w:t>
      </w:r>
      <w:r w:rsidR="002C5360">
        <w:rPr>
          <w:rFonts w:cstheme="minorHAnsi"/>
          <w:sz w:val="24"/>
          <w:szCs w:val="24"/>
        </w:rPr>
        <w:t>5</w:t>
      </w:r>
      <w:r w:rsidRPr="00573DEE">
        <w:rPr>
          <w:rFonts w:cstheme="minorHAnsi"/>
          <w:sz w:val="24"/>
          <w:szCs w:val="24"/>
        </w:rPr>
        <w:t>.  Credit unions under this asset size and that meet other criteria, may be exempt from this requirement.</w:t>
      </w:r>
      <w:r>
        <w:rPr>
          <w:rFonts w:cstheme="minorHAnsi"/>
          <w:sz w:val="24"/>
          <w:szCs w:val="24"/>
        </w:rPr>
        <w:br/>
      </w:r>
    </w:p>
    <w:p w14:paraId="3C472847" w14:textId="7D75D902" w:rsidR="00D419ED" w:rsidRPr="00573DEE" w:rsidRDefault="00D419ED" w:rsidP="00D419ED">
      <w:pPr>
        <w:pStyle w:val="ListParagraph"/>
        <w:numPr>
          <w:ilvl w:val="0"/>
          <w:numId w:val="1"/>
        </w:numPr>
        <w:spacing w:line="256" w:lineRule="auto"/>
        <w:rPr>
          <w:rFonts w:cstheme="minorHAnsi"/>
          <w:sz w:val="24"/>
          <w:szCs w:val="24"/>
        </w:rPr>
      </w:pPr>
      <w:hyperlink r:id="rId11" w:history="1">
        <w:r w:rsidRPr="00573DEE">
          <w:rPr>
            <w:rStyle w:val="Hyperlink"/>
            <w:rFonts w:cstheme="minorHAnsi"/>
            <w:sz w:val="24"/>
            <w:szCs w:val="24"/>
          </w:rPr>
          <w:t>Regulation C – Home Mortgage Disclosure Act Asset Size Exemption Threshold</w:t>
        </w:r>
      </w:hyperlink>
      <w:r w:rsidRPr="00573DEE">
        <w:rPr>
          <w:rFonts w:cstheme="minorHAnsi"/>
          <w:sz w:val="24"/>
          <w:szCs w:val="24"/>
        </w:rPr>
        <w:t xml:space="preserve"> is </w:t>
      </w:r>
      <w:r w:rsidRPr="00400E89">
        <w:rPr>
          <w:rFonts w:cstheme="minorHAnsi"/>
          <w:sz w:val="24"/>
          <w:szCs w:val="24"/>
        </w:rPr>
        <w:t>$5</w:t>
      </w:r>
      <w:r w:rsidR="008A55DD" w:rsidRPr="00400E89">
        <w:rPr>
          <w:rFonts w:cstheme="minorHAnsi"/>
          <w:sz w:val="24"/>
          <w:szCs w:val="24"/>
        </w:rPr>
        <w:t>8</w:t>
      </w:r>
      <w:r w:rsidRPr="00400E89">
        <w:rPr>
          <w:rFonts w:cstheme="minorHAnsi"/>
          <w:sz w:val="24"/>
          <w:szCs w:val="24"/>
        </w:rPr>
        <w:t xml:space="preserve"> million for 202</w:t>
      </w:r>
      <w:r w:rsidR="008A55DD" w:rsidRPr="00400E89">
        <w:rPr>
          <w:rFonts w:cstheme="minorHAnsi"/>
          <w:sz w:val="24"/>
          <w:szCs w:val="24"/>
        </w:rPr>
        <w:t>5</w:t>
      </w:r>
      <w:r w:rsidRPr="00400E89">
        <w:rPr>
          <w:rFonts w:cstheme="minorHAnsi"/>
          <w:sz w:val="24"/>
          <w:szCs w:val="24"/>
        </w:rPr>
        <w:t>.  Credit</w:t>
      </w:r>
      <w:r w:rsidRPr="00573DEE">
        <w:rPr>
          <w:rFonts w:cstheme="minorHAnsi"/>
          <w:sz w:val="24"/>
          <w:szCs w:val="24"/>
        </w:rPr>
        <w:t xml:space="preserve"> unions are exempt from the HMDA reporting </w:t>
      </w:r>
      <w:r w:rsidRPr="00573DEE">
        <w:rPr>
          <w:rFonts w:cstheme="minorHAnsi"/>
          <w:sz w:val="24"/>
          <w:szCs w:val="24"/>
        </w:rPr>
        <w:lastRenderedPageBreak/>
        <w:t>requirements if they have assets below this threshold.</w:t>
      </w:r>
      <w:r>
        <w:rPr>
          <w:rFonts w:cstheme="minorHAnsi"/>
          <w:sz w:val="24"/>
          <w:szCs w:val="24"/>
        </w:rPr>
        <w:t xml:space="preserve">  </w:t>
      </w:r>
      <w:r>
        <w:rPr>
          <w:rFonts w:cstheme="minorHAnsi"/>
          <w:sz w:val="24"/>
          <w:szCs w:val="24"/>
        </w:rPr>
        <w:br/>
      </w:r>
    </w:p>
    <w:p w14:paraId="10E0F84C" w14:textId="407DED4F" w:rsidR="00D419ED" w:rsidRDefault="00D419ED" w:rsidP="00D419ED">
      <w:pPr>
        <w:pStyle w:val="ListParagraph"/>
        <w:numPr>
          <w:ilvl w:val="0"/>
          <w:numId w:val="1"/>
        </w:numPr>
        <w:spacing w:line="256" w:lineRule="auto"/>
        <w:rPr>
          <w:rFonts w:cstheme="minorHAnsi"/>
          <w:sz w:val="24"/>
          <w:szCs w:val="24"/>
        </w:rPr>
      </w:pPr>
      <w:hyperlink r:id="rId12" w:history="1">
        <w:r w:rsidRPr="00573DEE">
          <w:rPr>
            <w:rStyle w:val="Hyperlink"/>
            <w:rFonts w:cstheme="minorHAnsi"/>
            <w:sz w:val="24"/>
            <w:szCs w:val="24"/>
          </w:rPr>
          <w:t>Regulation D – Reserve Requirements of Depository Institutions</w:t>
        </w:r>
      </w:hyperlink>
      <w:r w:rsidRPr="00573DEE">
        <w:rPr>
          <w:rFonts w:cstheme="minorHAnsi"/>
          <w:sz w:val="24"/>
          <w:szCs w:val="24"/>
        </w:rPr>
        <w:t xml:space="preserve"> have been updated for 202</w:t>
      </w:r>
      <w:r w:rsidR="00D62B8E">
        <w:rPr>
          <w:rFonts w:cstheme="minorHAnsi"/>
          <w:sz w:val="24"/>
          <w:szCs w:val="24"/>
        </w:rPr>
        <w:t>5</w:t>
      </w:r>
      <w:r w:rsidRPr="00573DEE">
        <w:rPr>
          <w:rFonts w:cstheme="minorHAnsi"/>
          <w:sz w:val="24"/>
          <w:szCs w:val="24"/>
        </w:rPr>
        <w:t>, even though the reserve ratios are still set at zero.</w:t>
      </w:r>
      <w:r w:rsidR="00AF75B6">
        <w:rPr>
          <w:rFonts w:cstheme="minorHAnsi"/>
          <w:sz w:val="24"/>
          <w:szCs w:val="24"/>
        </w:rPr>
        <w:t xml:space="preserve">  These </w:t>
      </w:r>
      <w:r w:rsidR="0072144A">
        <w:rPr>
          <w:rFonts w:cstheme="minorHAnsi"/>
          <w:sz w:val="24"/>
          <w:szCs w:val="24"/>
        </w:rPr>
        <w:t>changes take effect on December 20, 2024.</w:t>
      </w:r>
    </w:p>
    <w:p w14:paraId="0AB85647" w14:textId="2FBC3977" w:rsidR="00D419ED" w:rsidRDefault="00B51240" w:rsidP="00D419ED">
      <w:pPr>
        <w:spacing w:after="0" w:line="240" w:lineRule="auto"/>
        <w:rPr>
          <w:rFonts w:cstheme="minorHAnsi"/>
          <w:bCs/>
          <w:sz w:val="24"/>
          <w:szCs w:val="24"/>
        </w:rPr>
      </w:pPr>
      <w:r>
        <w:rPr>
          <w:rFonts w:cstheme="minorHAnsi"/>
          <w:bCs/>
          <w:sz w:val="24"/>
          <w:szCs w:val="24"/>
        </w:rPr>
        <w:t xml:space="preserve">In addition to the annual updates, </w:t>
      </w:r>
      <w:hyperlink r:id="rId13" w:history="1">
        <w:r w:rsidRPr="00C032B9">
          <w:rPr>
            <w:rStyle w:val="Hyperlink"/>
            <w:rFonts w:cstheme="minorHAnsi"/>
            <w:bCs/>
            <w:sz w:val="24"/>
            <w:szCs w:val="24"/>
          </w:rPr>
          <w:t>Regulation CC</w:t>
        </w:r>
      </w:hyperlink>
      <w:r>
        <w:rPr>
          <w:rFonts w:cstheme="minorHAnsi"/>
          <w:bCs/>
          <w:sz w:val="24"/>
          <w:szCs w:val="24"/>
        </w:rPr>
        <w:t xml:space="preserve"> </w:t>
      </w:r>
      <w:r w:rsidR="006F1EB8">
        <w:rPr>
          <w:rFonts w:cstheme="minorHAnsi"/>
          <w:bCs/>
          <w:sz w:val="24"/>
          <w:szCs w:val="24"/>
        </w:rPr>
        <w:t xml:space="preserve">was updated back in 2019 </w:t>
      </w:r>
      <w:r w:rsidR="00A86223">
        <w:rPr>
          <w:rFonts w:cstheme="minorHAnsi"/>
          <w:bCs/>
          <w:sz w:val="24"/>
          <w:szCs w:val="24"/>
        </w:rPr>
        <w:t>impacting the monetary limits within the regulation, which are now tied to the consumer price index.</w:t>
      </w:r>
      <w:r w:rsidR="00FC38BF">
        <w:rPr>
          <w:rFonts w:cstheme="minorHAnsi"/>
          <w:bCs/>
          <w:sz w:val="24"/>
          <w:szCs w:val="24"/>
        </w:rPr>
        <w:t xml:space="preserve">  These monetary limits</w:t>
      </w:r>
      <w:r w:rsidR="00926870">
        <w:rPr>
          <w:rFonts w:cstheme="minorHAnsi"/>
          <w:bCs/>
          <w:sz w:val="24"/>
          <w:szCs w:val="24"/>
        </w:rPr>
        <w:t>, including the limits for check holds, will adjust every 5 years.</w:t>
      </w:r>
      <w:r w:rsidR="00C032B9">
        <w:rPr>
          <w:rFonts w:cstheme="minorHAnsi"/>
          <w:bCs/>
          <w:sz w:val="24"/>
          <w:szCs w:val="24"/>
        </w:rPr>
        <w:t xml:space="preserve">  These new thresholds are effective on </w:t>
      </w:r>
      <w:r w:rsidR="003449EC">
        <w:rPr>
          <w:rFonts w:cstheme="minorHAnsi"/>
          <w:bCs/>
          <w:sz w:val="24"/>
          <w:szCs w:val="24"/>
        </w:rPr>
        <w:t>July 1</w:t>
      </w:r>
      <w:r w:rsidR="00C032B9">
        <w:rPr>
          <w:rFonts w:cstheme="minorHAnsi"/>
          <w:bCs/>
          <w:sz w:val="24"/>
          <w:szCs w:val="24"/>
        </w:rPr>
        <w:t>, 2025.</w:t>
      </w:r>
      <w:r w:rsidR="00C3549E">
        <w:rPr>
          <w:rFonts w:cstheme="minorHAnsi"/>
          <w:bCs/>
          <w:sz w:val="24"/>
          <w:szCs w:val="24"/>
        </w:rPr>
        <w:t xml:space="preserve">  The model policy has been updated in this update to allow credit unions enough time to adopt the changes prior to the effective date.</w:t>
      </w:r>
    </w:p>
    <w:p w14:paraId="690581B0" w14:textId="77777777" w:rsidR="00075DB5" w:rsidRDefault="00075DB5" w:rsidP="00D419ED">
      <w:pPr>
        <w:spacing w:after="0" w:line="240" w:lineRule="auto"/>
        <w:rPr>
          <w:rFonts w:cstheme="minorHAnsi"/>
          <w:bCs/>
          <w:sz w:val="24"/>
          <w:szCs w:val="24"/>
        </w:rPr>
      </w:pPr>
    </w:p>
    <w:tbl>
      <w:tblPr>
        <w:tblStyle w:val="TableGrid"/>
        <w:tblW w:w="0" w:type="auto"/>
        <w:tblLook w:val="04A0" w:firstRow="1" w:lastRow="0" w:firstColumn="1" w:lastColumn="0" w:noHBand="0" w:noVBand="1"/>
      </w:tblPr>
      <w:tblGrid>
        <w:gridCol w:w="4225"/>
        <w:gridCol w:w="2070"/>
        <w:gridCol w:w="3055"/>
      </w:tblGrid>
      <w:tr w:rsidR="00075DB5" w14:paraId="5ED5BC6D" w14:textId="77777777" w:rsidTr="009B73DA">
        <w:tc>
          <w:tcPr>
            <w:tcW w:w="4225" w:type="dxa"/>
          </w:tcPr>
          <w:p w14:paraId="6732B83F" w14:textId="77777777" w:rsidR="00075DB5" w:rsidRPr="00596F61" w:rsidRDefault="00075DB5" w:rsidP="009B73DA">
            <w:pPr>
              <w:rPr>
                <w:b/>
                <w:bCs/>
              </w:rPr>
            </w:pPr>
            <w:r w:rsidRPr="00596F61">
              <w:rPr>
                <w:b/>
                <w:bCs/>
              </w:rPr>
              <w:t>Applicable Limits</w:t>
            </w:r>
          </w:p>
        </w:tc>
        <w:tc>
          <w:tcPr>
            <w:tcW w:w="2070" w:type="dxa"/>
          </w:tcPr>
          <w:p w14:paraId="1FD33D1A" w14:textId="77777777" w:rsidR="00075DB5" w:rsidRPr="00596F61" w:rsidRDefault="00075DB5" w:rsidP="009B73DA">
            <w:pPr>
              <w:rPr>
                <w:b/>
                <w:bCs/>
              </w:rPr>
            </w:pPr>
            <w:r w:rsidRPr="00596F61">
              <w:rPr>
                <w:b/>
                <w:bCs/>
              </w:rPr>
              <w:t>Existing Amount</w:t>
            </w:r>
          </w:p>
        </w:tc>
        <w:tc>
          <w:tcPr>
            <w:tcW w:w="3055" w:type="dxa"/>
          </w:tcPr>
          <w:p w14:paraId="05DBDDB9" w14:textId="1FFB7FA5" w:rsidR="00075DB5" w:rsidRPr="00AC1986" w:rsidRDefault="00075DB5" w:rsidP="009B73DA">
            <w:pPr>
              <w:rPr>
                <w:b/>
                <w:bCs/>
              </w:rPr>
            </w:pPr>
            <w:r w:rsidRPr="00AC1986">
              <w:rPr>
                <w:b/>
                <w:bCs/>
              </w:rPr>
              <w:t xml:space="preserve">New Amount on </w:t>
            </w:r>
            <w:r w:rsidR="003449EC">
              <w:rPr>
                <w:b/>
                <w:bCs/>
              </w:rPr>
              <w:t>7</w:t>
            </w:r>
            <w:r w:rsidRPr="00AC1986">
              <w:rPr>
                <w:b/>
                <w:bCs/>
              </w:rPr>
              <w:t>-</w:t>
            </w:r>
            <w:r w:rsidR="003449EC">
              <w:rPr>
                <w:b/>
                <w:bCs/>
              </w:rPr>
              <w:t>01</w:t>
            </w:r>
            <w:r w:rsidRPr="00AC1986">
              <w:rPr>
                <w:b/>
                <w:bCs/>
              </w:rPr>
              <w:t>-2025</w:t>
            </w:r>
          </w:p>
        </w:tc>
      </w:tr>
      <w:tr w:rsidR="00075DB5" w14:paraId="52D2C2C7" w14:textId="77777777" w:rsidTr="009B73DA">
        <w:tc>
          <w:tcPr>
            <w:tcW w:w="4225" w:type="dxa"/>
          </w:tcPr>
          <w:p w14:paraId="48AA809B" w14:textId="77777777" w:rsidR="00075DB5" w:rsidRDefault="00075DB5" w:rsidP="009B73DA">
            <w:r>
              <w:t>Next Day Availability</w:t>
            </w:r>
          </w:p>
        </w:tc>
        <w:tc>
          <w:tcPr>
            <w:tcW w:w="2070" w:type="dxa"/>
          </w:tcPr>
          <w:p w14:paraId="5014A06F" w14:textId="77777777" w:rsidR="00075DB5" w:rsidRDefault="00075DB5" w:rsidP="009B73DA">
            <w:r>
              <w:t>$225</w:t>
            </w:r>
          </w:p>
        </w:tc>
        <w:tc>
          <w:tcPr>
            <w:tcW w:w="3055" w:type="dxa"/>
          </w:tcPr>
          <w:p w14:paraId="425BB244" w14:textId="77777777" w:rsidR="00075DB5" w:rsidRDefault="00075DB5" w:rsidP="009B73DA">
            <w:r>
              <w:t>$275</w:t>
            </w:r>
          </w:p>
        </w:tc>
      </w:tr>
      <w:tr w:rsidR="00075DB5" w14:paraId="4F405928" w14:textId="77777777" w:rsidTr="009B73DA">
        <w:tc>
          <w:tcPr>
            <w:tcW w:w="4225" w:type="dxa"/>
          </w:tcPr>
          <w:p w14:paraId="7A873198" w14:textId="77777777" w:rsidR="00075DB5" w:rsidRDefault="00075DB5" w:rsidP="009B73DA">
            <w:r>
              <w:t>Cash Withdrawal</w:t>
            </w:r>
          </w:p>
        </w:tc>
        <w:tc>
          <w:tcPr>
            <w:tcW w:w="2070" w:type="dxa"/>
          </w:tcPr>
          <w:p w14:paraId="2F86843D" w14:textId="77777777" w:rsidR="00075DB5" w:rsidRDefault="00075DB5" w:rsidP="009B73DA">
            <w:r>
              <w:t>$450</w:t>
            </w:r>
          </w:p>
        </w:tc>
        <w:tc>
          <w:tcPr>
            <w:tcW w:w="3055" w:type="dxa"/>
          </w:tcPr>
          <w:p w14:paraId="568BE0EA" w14:textId="77777777" w:rsidR="00075DB5" w:rsidRDefault="00075DB5" w:rsidP="009B73DA">
            <w:r>
              <w:t>$550</w:t>
            </w:r>
          </w:p>
        </w:tc>
      </w:tr>
      <w:tr w:rsidR="00075DB5" w14:paraId="438F6856" w14:textId="77777777" w:rsidTr="009B73DA">
        <w:tc>
          <w:tcPr>
            <w:tcW w:w="4225" w:type="dxa"/>
          </w:tcPr>
          <w:p w14:paraId="72A93FCD" w14:textId="77777777" w:rsidR="00075DB5" w:rsidRDefault="00075DB5" w:rsidP="009B73DA">
            <w:r>
              <w:t>New Account</w:t>
            </w:r>
          </w:p>
        </w:tc>
        <w:tc>
          <w:tcPr>
            <w:tcW w:w="2070" w:type="dxa"/>
          </w:tcPr>
          <w:p w14:paraId="6201875E" w14:textId="77777777" w:rsidR="00075DB5" w:rsidRDefault="00075DB5" w:rsidP="009B73DA">
            <w:r>
              <w:t>$5,525</w:t>
            </w:r>
          </w:p>
        </w:tc>
        <w:tc>
          <w:tcPr>
            <w:tcW w:w="3055" w:type="dxa"/>
          </w:tcPr>
          <w:p w14:paraId="6FB31090" w14:textId="77777777" w:rsidR="00075DB5" w:rsidRDefault="00075DB5" w:rsidP="009B73DA">
            <w:r>
              <w:t>$6,725</w:t>
            </w:r>
          </w:p>
        </w:tc>
      </w:tr>
      <w:tr w:rsidR="00075DB5" w14:paraId="04FFC26F" w14:textId="77777777" w:rsidTr="009B73DA">
        <w:tc>
          <w:tcPr>
            <w:tcW w:w="4225" w:type="dxa"/>
          </w:tcPr>
          <w:p w14:paraId="6FA2872D" w14:textId="77777777" w:rsidR="00075DB5" w:rsidRDefault="00075DB5" w:rsidP="009B73DA">
            <w:r>
              <w:t>Large Deposit</w:t>
            </w:r>
          </w:p>
        </w:tc>
        <w:tc>
          <w:tcPr>
            <w:tcW w:w="2070" w:type="dxa"/>
          </w:tcPr>
          <w:p w14:paraId="4928C4AE" w14:textId="77777777" w:rsidR="00075DB5" w:rsidRDefault="00075DB5" w:rsidP="009B73DA">
            <w:r>
              <w:t>$5,525</w:t>
            </w:r>
          </w:p>
        </w:tc>
        <w:tc>
          <w:tcPr>
            <w:tcW w:w="3055" w:type="dxa"/>
          </w:tcPr>
          <w:p w14:paraId="3C0E2073" w14:textId="77777777" w:rsidR="00075DB5" w:rsidRDefault="00075DB5" w:rsidP="009B73DA">
            <w:r>
              <w:t>$6,725</w:t>
            </w:r>
          </w:p>
        </w:tc>
      </w:tr>
      <w:tr w:rsidR="00075DB5" w14:paraId="575A02CA" w14:textId="77777777" w:rsidTr="009B73DA">
        <w:tc>
          <w:tcPr>
            <w:tcW w:w="4225" w:type="dxa"/>
          </w:tcPr>
          <w:p w14:paraId="62D2C9F4" w14:textId="77777777" w:rsidR="00075DB5" w:rsidRDefault="00075DB5" w:rsidP="009B73DA">
            <w:r>
              <w:t>Repeatedly Overdrawn</w:t>
            </w:r>
          </w:p>
        </w:tc>
        <w:tc>
          <w:tcPr>
            <w:tcW w:w="2070" w:type="dxa"/>
          </w:tcPr>
          <w:p w14:paraId="4B9A873B" w14:textId="77777777" w:rsidR="00075DB5" w:rsidRDefault="00075DB5" w:rsidP="009B73DA">
            <w:r>
              <w:t>$5,525</w:t>
            </w:r>
          </w:p>
        </w:tc>
        <w:tc>
          <w:tcPr>
            <w:tcW w:w="3055" w:type="dxa"/>
          </w:tcPr>
          <w:p w14:paraId="0242CA5D" w14:textId="77777777" w:rsidR="00075DB5" w:rsidRDefault="00075DB5" w:rsidP="009B73DA">
            <w:r>
              <w:t>$6,725</w:t>
            </w:r>
          </w:p>
        </w:tc>
      </w:tr>
      <w:tr w:rsidR="00075DB5" w14:paraId="1E85C8A8" w14:textId="77777777" w:rsidTr="009B73DA">
        <w:tc>
          <w:tcPr>
            <w:tcW w:w="4225" w:type="dxa"/>
          </w:tcPr>
          <w:p w14:paraId="3329D148" w14:textId="77777777" w:rsidR="00075DB5" w:rsidRDefault="00075DB5" w:rsidP="009B73DA">
            <w:r>
              <w:t>Civil Liability Minimum and Maximum for Individual Action</w:t>
            </w:r>
          </w:p>
        </w:tc>
        <w:tc>
          <w:tcPr>
            <w:tcW w:w="2070" w:type="dxa"/>
          </w:tcPr>
          <w:p w14:paraId="664E9617" w14:textId="77777777" w:rsidR="00075DB5" w:rsidRDefault="00075DB5" w:rsidP="009B73DA">
            <w:r>
              <w:t>$100, $1,100</w:t>
            </w:r>
          </w:p>
        </w:tc>
        <w:tc>
          <w:tcPr>
            <w:tcW w:w="3055" w:type="dxa"/>
          </w:tcPr>
          <w:p w14:paraId="6FE0CF83" w14:textId="77777777" w:rsidR="00075DB5" w:rsidRDefault="00075DB5" w:rsidP="009B73DA">
            <w:r>
              <w:t>$125, $1,350</w:t>
            </w:r>
          </w:p>
        </w:tc>
      </w:tr>
      <w:tr w:rsidR="00075DB5" w14:paraId="3C98BBDB" w14:textId="77777777" w:rsidTr="009B73DA">
        <w:tc>
          <w:tcPr>
            <w:tcW w:w="4225" w:type="dxa"/>
          </w:tcPr>
          <w:p w14:paraId="0D6F9672" w14:textId="77777777" w:rsidR="00075DB5" w:rsidRDefault="00075DB5" w:rsidP="009B73DA">
            <w:r>
              <w:t>Civil Liability for Maximum for Class Action</w:t>
            </w:r>
          </w:p>
        </w:tc>
        <w:tc>
          <w:tcPr>
            <w:tcW w:w="2070" w:type="dxa"/>
          </w:tcPr>
          <w:p w14:paraId="0CEB5CD9" w14:textId="77777777" w:rsidR="00075DB5" w:rsidRDefault="00075DB5" w:rsidP="009B73DA">
            <w:r>
              <w:t>$552,500</w:t>
            </w:r>
          </w:p>
        </w:tc>
        <w:tc>
          <w:tcPr>
            <w:tcW w:w="3055" w:type="dxa"/>
          </w:tcPr>
          <w:p w14:paraId="3C55A49C" w14:textId="77777777" w:rsidR="00075DB5" w:rsidRDefault="00075DB5" w:rsidP="009B73DA">
            <w:r>
              <w:t>$672,950</w:t>
            </w:r>
          </w:p>
        </w:tc>
      </w:tr>
    </w:tbl>
    <w:p w14:paraId="152C7FE2" w14:textId="77777777" w:rsidR="00075DB5" w:rsidRPr="00B51240" w:rsidRDefault="00075DB5" w:rsidP="00D419ED">
      <w:pPr>
        <w:spacing w:after="0" w:line="240" w:lineRule="auto"/>
        <w:rPr>
          <w:rFonts w:cstheme="minorHAnsi"/>
          <w:bCs/>
          <w:sz w:val="24"/>
          <w:szCs w:val="24"/>
        </w:rPr>
      </w:pPr>
    </w:p>
    <w:p w14:paraId="5903E2CB" w14:textId="17717D78" w:rsidR="00D419ED" w:rsidRPr="00573DEE" w:rsidRDefault="00D419ED" w:rsidP="00D419ED">
      <w:pPr>
        <w:pStyle w:val="Default"/>
        <w:rPr>
          <w:rFonts w:cstheme="minorHAnsi"/>
          <w:b/>
          <w:color w:val="FF0000"/>
        </w:rPr>
      </w:pPr>
      <w:r w:rsidRPr="00573DEE">
        <w:rPr>
          <w:rFonts w:cstheme="minorHAnsi"/>
          <w:b/>
          <w:color w:val="FF0000"/>
        </w:rPr>
        <w:br/>
      </w:r>
    </w:p>
    <w:p w14:paraId="05207A30" w14:textId="77777777" w:rsidR="00D419ED" w:rsidRPr="00573DEE" w:rsidRDefault="00D419ED" w:rsidP="00D419ED">
      <w:pPr>
        <w:spacing w:after="0" w:line="240" w:lineRule="auto"/>
        <w:rPr>
          <w:rFonts w:cstheme="minorHAnsi"/>
          <w:b/>
          <w:sz w:val="24"/>
          <w:szCs w:val="24"/>
          <w:u w:val="single"/>
        </w:rPr>
      </w:pPr>
      <w:r w:rsidRPr="00573DEE">
        <w:rPr>
          <w:rFonts w:cstheme="minorHAnsi"/>
          <w:b/>
          <w:sz w:val="24"/>
          <w:szCs w:val="24"/>
          <w:u w:val="single"/>
        </w:rPr>
        <w:t>221</w:t>
      </w:r>
      <w:r>
        <w:rPr>
          <w:rFonts w:cstheme="minorHAnsi"/>
          <w:b/>
          <w:sz w:val="24"/>
          <w:szCs w:val="24"/>
          <w:u w:val="single"/>
        </w:rPr>
        <w:t>0.14</w:t>
      </w:r>
      <w:r w:rsidRPr="00573DEE">
        <w:rPr>
          <w:rFonts w:cstheme="minorHAnsi"/>
          <w:b/>
          <w:sz w:val="24"/>
          <w:szCs w:val="24"/>
          <w:u w:val="single"/>
        </w:rPr>
        <w:t xml:space="preserve"> – Health Savings Accounts</w:t>
      </w:r>
    </w:p>
    <w:p w14:paraId="49FC4141" w14:textId="3E4028A2" w:rsidR="00D419ED" w:rsidRDefault="00D419ED" w:rsidP="00D419ED">
      <w:pPr>
        <w:spacing w:after="0" w:line="240" w:lineRule="auto"/>
        <w:rPr>
          <w:rFonts w:cstheme="minorHAnsi"/>
          <w:b/>
          <w:sz w:val="24"/>
          <w:szCs w:val="24"/>
          <w:u w:val="single"/>
        </w:rPr>
      </w:pPr>
      <w:r>
        <w:rPr>
          <w:rFonts w:cstheme="minorHAnsi"/>
          <w:b/>
          <w:sz w:val="24"/>
          <w:szCs w:val="24"/>
          <w:u w:val="single"/>
        </w:rPr>
        <w:t>2024-</w:t>
      </w:r>
      <w:r w:rsidR="00F37738">
        <w:rPr>
          <w:rFonts w:cstheme="minorHAnsi"/>
          <w:b/>
          <w:sz w:val="24"/>
          <w:szCs w:val="24"/>
          <w:u w:val="single"/>
        </w:rPr>
        <w:t>4</w:t>
      </w:r>
    </w:p>
    <w:p w14:paraId="6D602ED5" w14:textId="0774B3D2" w:rsidR="00D419ED" w:rsidRPr="00573DEE" w:rsidRDefault="00D419ED" w:rsidP="00D419ED">
      <w:pPr>
        <w:pStyle w:val="Default"/>
        <w:rPr>
          <w:rFonts w:cstheme="minorHAnsi"/>
          <w:b/>
          <w:color w:val="FF0000"/>
        </w:rPr>
      </w:pPr>
      <w:r w:rsidRPr="00573DEE">
        <w:rPr>
          <w:rFonts w:asciiTheme="minorHAnsi" w:hAnsiTheme="minorHAnsi" w:cstheme="minorHAnsi"/>
          <w:color w:val="auto"/>
        </w:rPr>
        <w:t xml:space="preserve">Each year the </w:t>
      </w:r>
      <w:hyperlink r:id="rId14" w:history="1">
        <w:r w:rsidRPr="00573DEE">
          <w:rPr>
            <w:rStyle w:val="Hyperlink"/>
            <w:rFonts w:asciiTheme="minorHAnsi" w:hAnsiTheme="minorHAnsi" w:cstheme="minorHAnsi"/>
          </w:rPr>
          <w:t>IRS changes</w:t>
        </w:r>
      </w:hyperlink>
      <w:r w:rsidRPr="00573DEE">
        <w:rPr>
          <w:rFonts w:asciiTheme="minorHAnsi" w:hAnsiTheme="minorHAnsi" w:cstheme="minorHAnsi"/>
          <w:color w:val="auto"/>
        </w:rPr>
        <w:t xml:space="preserve"> the contribution limits that can be made to health savings accounts for both individual and family plans.  Those changes for 202</w:t>
      </w:r>
      <w:r w:rsidR="00C877BB">
        <w:rPr>
          <w:rFonts w:asciiTheme="minorHAnsi" w:hAnsiTheme="minorHAnsi" w:cstheme="minorHAnsi"/>
          <w:color w:val="auto"/>
        </w:rPr>
        <w:t>5</w:t>
      </w:r>
      <w:r w:rsidRPr="00573DEE">
        <w:rPr>
          <w:rFonts w:asciiTheme="minorHAnsi" w:hAnsiTheme="minorHAnsi" w:cstheme="minorHAnsi"/>
          <w:color w:val="auto"/>
        </w:rPr>
        <w:t xml:space="preserve"> are reflected in the revisions. </w:t>
      </w:r>
      <w:r w:rsidRPr="00573DEE">
        <w:rPr>
          <w:rFonts w:asciiTheme="minorHAnsi" w:hAnsiTheme="minorHAnsi" w:cstheme="minorHAnsi"/>
          <w:b/>
          <w:color w:val="FF0000"/>
        </w:rPr>
        <w:t>(Required)</w:t>
      </w:r>
      <w:r w:rsidRPr="00573DEE">
        <w:rPr>
          <w:rFonts w:cstheme="minorHAnsi"/>
          <w:b/>
          <w:color w:val="FF0000"/>
        </w:rPr>
        <w:br/>
      </w:r>
    </w:p>
    <w:p w14:paraId="1DF18184" w14:textId="77777777" w:rsidR="00D419ED" w:rsidRPr="00D82269" w:rsidRDefault="00D419ED" w:rsidP="00D419ED">
      <w:pPr>
        <w:spacing w:after="0" w:line="240" w:lineRule="auto"/>
        <w:rPr>
          <w:rFonts w:cstheme="minorHAnsi"/>
          <w:b/>
          <w:sz w:val="24"/>
          <w:szCs w:val="24"/>
          <w:u w:val="single"/>
        </w:rPr>
      </w:pPr>
      <w:r w:rsidRPr="00D82269">
        <w:rPr>
          <w:rFonts w:cstheme="minorHAnsi"/>
          <w:b/>
          <w:sz w:val="24"/>
          <w:szCs w:val="24"/>
          <w:u w:val="single"/>
        </w:rPr>
        <w:t>Policy 2400 – Funds Availability</w:t>
      </w:r>
    </w:p>
    <w:p w14:paraId="55025A3A" w14:textId="4E372DE5" w:rsidR="00D419ED" w:rsidRPr="00D82269" w:rsidRDefault="00D419ED" w:rsidP="00D419ED">
      <w:pPr>
        <w:spacing w:after="0" w:line="240" w:lineRule="auto"/>
        <w:rPr>
          <w:rFonts w:cstheme="minorHAnsi"/>
          <w:b/>
          <w:sz w:val="24"/>
          <w:szCs w:val="24"/>
          <w:u w:val="single"/>
        </w:rPr>
      </w:pPr>
      <w:r w:rsidRPr="00D82269">
        <w:rPr>
          <w:rFonts w:cstheme="minorHAnsi"/>
          <w:b/>
          <w:sz w:val="24"/>
          <w:szCs w:val="24"/>
          <w:u w:val="single"/>
        </w:rPr>
        <w:t>2024-</w:t>
      </w:r>
      <w:r w:rsidR="009C5950">
        <w:rPr>
          <w:rFonts w:cstheme="minorHAnsi"/>
          <w:b/>
          <w:sz w:val="24"/>
          <w:szCs w:val="24"/>
          <w:u w:val="single"/>
        </w:rPr>
        <w:t>4</w:t>
      </w:r>
    </w:p>
    <w:p w14:paraId="564C4287" w14:textId="4311F17D" w:rsidR="00D419ED" w:rsidRDefault="00D419ED" w:rsidP="00D419ED">
      <w:pPr>
        <w:spacing w:after="0" w:line="240" w:lineRule="auto"/>
        <w:rPr>
          <w:rFonts w:cstheme="minorHAnsi"/>
          <w:b/>
          <w:color w:val="FF0000"/>
          <w:sz w:val="24"/>
          <w:szCs w:val="24"/>
        </w:rPr>
      </w:pPr>
      <w:r w:rsidRPr="00D82269">
        <w:rPr>
          <w:rFonts w:cstheme="minorHAnsi"/>
          <w:bCs/>
          <w:sz w:val="24"/>
          <w:szCs w:val="24"/>
        </w:rPr>
        <w:t xml:space="preserve">This policy was reviewed and updated to </w:t>
      </w:r>
      <w:r w:rsidR="009C5950">
        <w:rPr>
          <w:rFonts w:cstheme="minorHAnsi"/>
          <w:bCs/>
          <w:sz w:val="24"/>
          <w:szCs w:val="24"/>
        </w:rPr>
        <w:t xml:space="preserve">comply with the monetary thresholds changes within </w:t>
      </w:r>
      <w:hyperlink r:id="rId15" w:history="1">
        <w:r w:rsidR="009C5950" w:rsidRPr="00F377B9">
          <w:rPr>
            <w:rStyle w:val="Hyperlink"/>
            <w:rFonts w:cstheme="minorHAnsi"/>
            <w:bCs/>
            <w:sz w:val="24"/>
            <w:szCs w:val="24"/>
          </w:rPr>
          <w:t>Regulation CC</w:t>
        </w:r>
      </w:hyperlink>
      <w:r w:rsidR="009C5950">
        <w:rPr>
          <w:rFonts w:cstheme="minorHAnsi"/>
          <w:bCs/>
          <w:sz w:val="24"/>
          <w:szCs w:val="24"/>
        </w:rPr>
        <w:t xml:space="preserve"> that become effective on </w:t>
      </w:r>
      <w:r w:rsidR="003449EC">
        <w:rPr>
          <w:rFonts w:cstheme="minorHAnsi"/>
          <w:bCs/>
          <w:sz w:val="24"/>
          <w:szCs w:val="24"/>
        </w:rPr>
        <w:t>July 1</w:t>
      </w:r>
      <w:r w:rsidR="009C5950">
        <w:rPr>
          <w:rFonts w:cstheme="minorHAnsi"/>
          <w:bCs/>
          <w:sz w:val="24"/>
          <w:szCs w:val="24"/>
        </w:rPr>
        <w:t>, 2025.  Credit unions have the option of adopting the changes ahead of the effective date or waiting until the effective date</w:t>
      </w:r>
      <w:r w:rsidRPr="00D82269">
        <w:rPr>
          <w:rFonts w:cstheme="minorHAnsi"/>
          <w:bCs/>
          <w:sz w:val="24"/>
          <w:szCs w:val="24"/>
        </w:rPr>
        <w:t xml:space="preserve">.  </w:t>
      </w:r>
      <w:r w:rsidRPr="00D82269">
        <w:rPr>
          <w:rFonts w:cstheme="minorHAnsi"/>
          <w:b/>
          <w:color w:val="FF0000"/>
          <w:sz w:val="24"/>
          <w:szCs w:val="24"/>
        </w:rPr>
        <w:t>(Re</w:t>
      </w:r>
      <w:r w:rsidR="00F377B9">
        <w:rPr>
          <w:rFonts w:cstheme="minorHAnsi"/>
          <w:b/>
          <w:color w:val="FF0000"/>
          <w:sz w:val="24"/>
          <w:szCs w:val="24"/>
        </w:rPr>
        <w:t xml:space="preserve">quired on </w:t>
      </w:r>
      <w:r w:rsidR="003449EC">
        <w:rPr>
          <w:rFonts w:cstheme="minorHAnsi"/>
          <w:b/>
          <w:color w:val="FF0000"/>
          <w:sz w:val="24"/>
          <w:szCs w:val="24"/>
        </w:rPr>
        <w:t>July 1</w:t>
      </w:r>
      <w:r w:rsidR="00F377B9">
        <w:rPr>
          <w:rFonts w:cstheme="minorHAnsi"/>
          <w:b/>
          <w:color w:val="FF0000"/>
          <w:sz w:val="24"/>
          <w:szCs w:val="24"/>
        </w:rPr>
        <w:t>, 2025</w:t>
      </w:r>
      <w:r w:rsidRPr="00D82269">
        <w:rPr>
          <w:rFonts w:cstheme="minorHAnsi"/>
          <w:b/>
          <w:color w:val="FF0000"/>
          <w:sz w:val="24"/>
          <w:szCs w:val="24"/>
        </w:rPr>
        <w:t>)</w:t>
      </w:r>
    </w:p>
    <w:p w14:paraId="4D337B8E" w14:textId="77777777" w:rsidR="00D82269" w:rsidRDefault="00D82269" w:rsidP="00D419ED">
      <w:pPr>
        <w:spacing w:after="0" w:line="240" w:lineRule="auto"/>
        <w:rPr>
          <w:rFonts w:cstheme="minorHAnsi"/>
          <w:b/>
          <w:color w:val="FF0000"/>
          <w:sz w:val="24"/>
          <w:szCs w:val="24"/>
        </w:rPr>
      </w:pPr>
    </w:p>
    <w:p w14:paraId="64BDF137" w14:textId="7D8FF447" w:rsidR="00D82269" w:rsidRPr="00D82269" w:rsidRDefault="00D82269" w:rsidP="00D82269">
      <w:pPr>
        <w:spacing w:after="0" w:line="240" w:lineRule="auto"/>
        <w:rPr>
          <w:rFonts w:cstheme="minorHAnsi"/>
          <w:b/>
          <w:sz w:val="24"/>
          <w:szCs w:val="24"/>
          <w:u w:val="single"/>
        </w:rPr>
      </w:pPr>
      <w:r>
        <w:rPr>
          <w:rFonts w:cstheme="minorHAnsi"/>
          <w:b/>
          <w:sz w:val="24"/>
          <w:szCs w:val="24"/>
          <w:u w:val="single"/>
        </w:rPr>
        <w:t>2615.11</w:t>
      </w:r>
      <w:r w:rsidR="00320AEB">
        <w:rPr>
          <w:rFonts w:cstheme="minorHAnsi"/>
          <w:b/>
          <w:sz w:val="24"/>
          <w:szCs w:val="24"/>
          <w:u w:val="single"/>
        </w:rPr>
        <w:t xml:space="preserve"> – Real-Time Payment Options – Risk and Controls  **New Resource**</w:t>
      </w:r>
    </w:p>
    <w:p w14:paraId="65DBA677" w14:textId="6E173AE5" w:rsidR="00D82269" w:rsidRPr="00D82269" w:rsidRDefault="00D82269" w:rsidP="00D82269">
      <w:pPr>
        <w:spacing w:after="0" w:line="240" w:lineRule="auto"/>
        <w:rPr>
          <w:rFonts w:cstheme="minorHAnsi"/>
          <w:b/>
          <w:sz w:val="24"/>
          <w:szCs w:val="24"/>
          <w:u w:val="single"/>
        </w:rPr>
      </w:pPr>
      <w:r w:rsidRPr="00D82269">
        <w:rPr>
          <w:rFonts w:cstheme="minorHAnsi"/>
          <w:b/>
          <w:sz w:val="24"/>
          <w:szCs w:val="24"/>
          <w:u w:val="single"/>
        </w:rPr>
        <w:t>2024-</w:t>
      </w:r>
      <w:r w:rsidR="00320AEB">
        <w:rPr>
          <w:rFonts w:cstheme="minorHAnsi"/>
          <w:b/>
          <w:sz w:val="24"/>
          <w:szCs w:val="24"/>
          <w:u w:val="single"/>
        </w:rPr>
        <w:t>4</w:t>
      </w:r>
    </w:p>
    <w:p w14:paraId="368E1B1E" w14:textId="4BEDB255" w:rsidR="00D82269" w:rsidRPr="00D82269" w:rsidRDefault="000571F9" w:rsidP="00D82269">
      <w:pPr>
        <w:spacing w:after="0" w:line="240" w:lineRule="auto"/>
        <w:rPr>
          <w:rFonts w:cstheme="minorHAnsi"/>
          <w:bCs/>
          <w:sz w:val="24"/>
          <w:szCs w:val="24"/>
        </w:rPr>
      </w:pPr>
      <w:r>
        <w:rPr>
          <w:rFonts w:cstheme="minorHAnsi"/>
          <w:bCs/>
          <w:sz w:val="24"/>
          <w:szCs w:val="24"/>
        </w:rPr>
        <w:t xml:space="preserve">As credit unions continue to evolve their </w:t>
      </w:r>
      <w:r w:rsidR="004248AF">
        <w:rPr>
          <w:rFonts w:cstheme="minorHAnsi"/>
          <w:bCs/>
          <w:sz w:val="24"/>
          <w:szCs w:val="24"/>
        </w:rPr>
        <w:t>real-time payment options, examination scrutiny increases.  This resource was developed as a starting point to assist credit unions in identifying</w:t>
      </w:r>
      <w:r w:rsidR="007F481F">
        <w:rPr>
          <w:rFonts w:cstheme="minorHAnsi"/>
          <w:bCs/>
          <w:sz w:val="24"/>
          <w:szCs w:val="24"/>
        </w:rPr>
        <w:t xml:space="preserve"> risks and creating controls around the associated RTPs offered.    </w:t>
      </w:r>
      <w:r w:rsidR="00D82269" w:rsidRPr="00D82269">
        <w:rPr>
          <w:rFonts w:cstheme="minorHAnsi"/>
          <w:bCs/>
          <w:sz w:val="24"/>
          <w:szCs w:val="24"/>
        </w:rPr>
        <w:t xml:space="preserve">This </w:t>
      </w:r>
      <w:r w:rsidR="00320AEB">
        <w:rPr>
          <w:rFonts w:cstheme="minorHAnsi"/>
          <w:bCs/>
          <w:sz w:val="24"/>
          <w:szCs w:val="24"/>
        </w:rPr>
        <w:t xml:space="preserve">resource was created </w:t>
      </w:r>
      <w:r w:rsidR="00334341">
        <w:rPr>
          <w:rFonts w:cstheme="minorHAnsi"/>
          <w:bCs/>
          <w:sz w:val="24"/>
          <w:szCs w:val="24"/>
        </w:rPr>
        <w:t>as a result of</w:t>
      </w:r>
      <w:r w:rsidR="00320AEB">
        <w:rPr>
          <w:rFonts w:cstheme="minorHAnsi"/>
          <w:bCs/>
          <w:sz w:val="24"/>
          <w:szCs w:val="24"/>
        </w:rPr>
        <w:t xml:space="preserve"> </w:t>
      </w:r>
      <w:r w:rsidR="00FA7587">
        <w:rPr>
          <w:rFonts w:cstheme="minorHAnsi"/>
          <w:bCs/>
          <w:sz w:val="24"/>
          <w:szCs w:val="24"/>
        </w:rPr>
        <w:t>examination pressure</w:t>
      </w:r>
      <w:r w:rsidR="00FC5C85">
        <w:rPr>
          <w:rFonts w:cstheme="minorHAnsi"/>
          <w:bCs/>
          <w:sz w:val="24"/>
          <w:szCs w:val="24"/>
        </w:rPr>
        <w:t xml:space="preserve"> and the </w:t>
      </w:r>
      <w:hyperlink r:id="rId16" w:history="1">
        <w:r w:rsidR="00E27FE8" w:rsidRPr="00B65DB0">
          <w:rPr>
            <w:rStyle w:val="Hyperlink"/>
            <w:rFonts w:cstheme="minorHAnsi"/>
            <w:bCs/>
            <w:sz w:val="24"/>
            <w:szCs w:val="24"/>
          </w:rPr>
          <w:t>OCC’s Comptroller’s Handbook for Payment Systems</w:t>
        </w:r>
      </w:hyperlink>
      <w:r w:rsidR="00E27FE8">
        <w:rPr>
          <w:rFonts w:cstheme="minorHAnsi"/>
          <w:bCs/>
          <w:sz w:val="24"/>
          <w:szCs w:val="24"/>
        </w:rPr>
        <w:t xml:space="preserve"> was used as </w:t>
      </w:r>
      <w:r w:rsidR="00B65DB0">
        <w:rPr>
          <w:rFonts w:cstheme="minorHAnsi"/>
          <w:bCs/>
          <w:sz w:val="24"/>
          <w:szCs w:val="24"/>
        </w:rPr>
        <w:t>guidance</w:t>
      </w:r>
      <w:r w:rsidR="00FA7587">
        <w:rPr>
          <w:rFonts w:cstheme="minorHAnsi"/>
          <w:bCs/>
          <w:sz w:val="24"/>
          <w:szCs w:val="24"/>
        </w:rPr>
        <w:t>.  Credit unions offer</w:t>
      </w:r>
      <w:r w:rsidR="00EF30F8">
        <w:rPr>
          <w:rFonts w:cstheme="minorHAnsi"/>
          <w:bCs/>
          <w:sz w:val="24"/>
          <w:szCs w:val="24"/>
        </w:rPr>
        <w:t>ing</w:t>
      </w:r>
      <w:r w:rsidR="00FA7587">
        <w:rPr>
          <w:rFonts w:cstheme="minorHAnsi"/>
          <w:bCs/>
          <w:sz w:val="24"/>
          <w:szCs w:val="24"/>
        </w:rPr>
        <w:t xml:space="preserve"> real-time payments </w:t>
      </w:r>
      <w:r w:rsidR="00460C81">
        <w:rPr>
          <w:rFonts w:cstheme="minorHAnsi"/>
          <w:bCs/>
          <w:sz w:val="24"/>
          <w:szCs w:val="24"/>
        </w:rPr>
        <w:t xml:space="preserve">are </w:t>
      </w:r>
      <w:r w:rsidR="00460C81">
        <w:rPr>
          <w:rFonts w:cstheme="minorHAnsi"/>
          <w:bCs/>
          <w:sz w:val="24"/>
          <w:szCs w:val="24"/>
        </w:rPr>
        <w:lastRenderedPageBreak/>
        <w:t>encourage</w:t>
      </w:r>
      <w:r w:rsidR="009A7852">
        <w:rPr>
          <w:rFonts w:cstheme="minorHAnsi"/>
          <w:bCs/>
          <w:sz w:val="24"/>
          <w:szCs w:val="24"/>
        </w:rPr>
        <w:t>d</w:t>
      </w:r>
      <w:r w:rsidR="00460C81">
        <w:rPr>
          <w:rFonts w:cstheme="minorHAnsi"/>
          <w:bCs/>
          <w:sz w:val="24"/>
          <w:szCs w:val="24"/>
        </w:rPr>
        <w:t xml:space="preserve"> to further customize and </w:t>
      </w:r>
      <w:r w:rsidR="00884418">
        <w:rPr>
          <w:rFonts w:cstheme="minorHAnsi"/>
          <w:bCs/>
          <w:sz w:val="24"/>
          <w:szCs w:val="24"/>
        </w:rPr>
        <w:t>build out this tool for their organization.</w:t>
      </w:r>
      <w:r w:rsidR="00005F1D">
        <w:rPr>
          <w:rFonts w:cstheme="minorHAnsi"/>
          <w:bCs/>
          <w:sz w:val="24"/>
          <w:szCs w:val="24"/>
        </w:rPr>
        <w:t xml:space="preserve"> </w:t>
      </w:r>
      <w:r w:rsidR="00D82269" w:rsidRPr="00D82269">
        <w:rPr>
          <w:rFonts w:cstheme="minorHAnsi"/>
          <w:b/>
          <w:color w:val="FF0000"/>
          <w:sz w:val="24"/>
          <w:szCs w:val="24"/>
        </w:rPr>
        <w:t>(Recommended)</w:t>
      </w:r>
    </w:p>
    <w:p w14:paraId="6E55983B" w14:textId="77777777" w:rsidR="00D82269" w:rsidRDefault="00D82269" w:rsidP="00D419ED">
      <w:pPr>
        <w:spacing w:after="0" w:line="240" w:lineRule="auto"/>
        <w:rPr>
          <w:rFonts w:cstheme="minorHAnsi"/>
          <w:bCs/>
          <w:sz w:val="24"/>
          <w:szCs w:val="24"/>
        </w:rPr>
      </w:pPr>
    </w:p>
    <w:p w14:paraId="2B3A7E98" w14:textId="77777777" w:rsidR="00CC5EC0" w:rsidRPr="00CC5EC0" w:rsidRDefault="00CC5EC0" w:rsidP="00CC5EC0">
      <w:pPr>
        <w:spacing w:after="0"/>
        <w:rPr>
          <w:b/>
          <w:bCs/>
          <w:sz w:val="24"/>
          <w:szCs w:val="24"/>
          <w:u w:val="single"/>
        </w:rPr>
      </w:pPr>
      <w:r w:rsidRPr="00CC5EC0">
        <w:rPr>
          <w:b/>
          <w:bCs/>
          <w:sz w:val="24"/>
          <w:szCs w:val="24"/>
          <w:u w:val="single"/>
        </w:rPr>
        <w:t>Policy 4120 – Information Security</w:t>
      </w:r>
    </w:p>
    <w:p w14:paraId="7E1753DF" w14:textId="77777777" w:rsidR="00CC5EC0" w:rsidRPr="00CC5EC0" w:rsidRDefault="00CC5EC0" w:rsidP="00CC5EC0">
      <w:pPr>
        <w:spacing w:after="0" w:line="240" w:lineRule="auto"/>
        <w:rPr>
          <w:rFonts w:cstheme="minorHAnsi"/>
          <w:b/>
          <w:sz w:val="24"/>
          <w:szCs w:val="24"/>
          <w:u w:val="single"/>
        </w:rPr>
      </w:pPr>
      <w:r w:rsidRPr="00CC5EC0">
        <w:rPr>
          <w:rFonts w:cstheme="minorHAnsi"/>
          <w:b/>
          <w:sz w:val="24"/>
          <w:szCs w:val="24"/>
          <w:u w:val="single"/>
        </w:rPr>
        <w:t>2024-4</w:t>
      </w:r>
    </w:p>
    <w:p w14:paraId="0611A6CC" w14:textId="677ADE32" w:rsidR="00CC5EC0" w:rsidRPr="00511737" w:rsidRDefault="00CC5EC0" w:rsidP="00CC5EC0">
      <w:pPr>
        <w:spacing w:after="0"/>
        <w:rPr>
          <w:sz w:val="24"/>
          <w:szCs w:val="24"/>
        </w:rPr>
      </w:pPr>
      <w:r w:rsidRPr="00511737">
        <w:rPr>
          <w:sz w:val="24"/>
          <w:szCs w:val="24"/>
        </w:rPr>
        <w:t>These recommended changes are derived from our annual review and updates to the National Institute of Standards and Technology (NIST). Special Publication 800-53 (Revision 5) Security Controls and Assessment Procedures for Federal Information Systems and NIST Cybersecurity Framework (CSF 2.0).</w:t>
      </w:r>
      <w:r w:rsidR="00511737">
        <w:rPr>
          <w:sz w:val="24"/>
          <w:szCs w:val="24"/>
        </w:rPr>
        <w:t xml:space="preserve"> </w:t>
      </w:r>
      <w:r w:rsidRPr="00511737">
        <w:rPr>
          <w:rFonts w:cstheme="minorHAnsi"/>
          <w:b/>
          <w:bCs/>
          <w:color w:val="FF0000"/>
          <w:sz w:val="24"/>
          <w:szCs w:val="24"/>
        </w:rPr>
        <w:t>(Recommended)</w:t>
      </w:r>
    </w:p>
    <w:p w14:paraId="5CA89319" w14:textId="11328061" w:rsidR="005C02ED" w:rsidRDefault="005C02ED" w:rsidP="00D419ED">
      <w:pPr>
        <w:spacing w:after="0" w:line="240" w:lineRule="auto"/>
        <w:rPr>
          <w:rFonts w:cstheme="minorHAnsi"/>
          <w:bCs/>
          <w:sz w:val="24"/>
          <w:szCs w:val="24"/>
        </w:rPr>
      </w:pPr>
    </w:p>
    <w:p w14:paraId="41C6623C" w14:textId="77777777" w:rsidR="00DF2263" w:rsidRPr="00DF2263" w:rsidRDefault="00DF2263" w:rsidP="00DF2263">
      <w:pPr>
        <w:spacing w:after="0"/>
        <w:rPr>
          <w:b/>
          <w:bCs/>
          <w:sz w:val="24"/>
          <w:szCs w:val="24"/>
          <w:u w:val="single"/>
        </w:rPr>
      </w:pPr>
      <w:r w:rsidRPr="00DF2263">
        <w:rPr>
          <w:b/>
          <w:bCs/>
          <w:sz w:val="24"/>
          <w:szCs w:val="24"/>
          <w:u w:val="single"/>
        </w:rPr>
        <w:t>Policy 4125 – Incident Response</w:t>
      </w:r>
    </w:p>
    <w:p w14:paraId="72B35E87" w14:textId="77777777" w:rsidR="00DF2263" w:rsidRPr="00DF2263" w:rsidRDefault="00DF2263" w:rsidP="00DF2263">
      <w:pPr>
        <w:spacing w:after="0" w:line="240" w:lineRule="auto"/>
        <w:rPr>
          <w:rFonts w:cstheme="minorHAnsi"/>
          <w:b/>
          <w:sz w:val="24"/>
          <w:szCs w:val="24"/>
          <w:u w:val="single"/>
        </w:rPr>
      </w:pPr>
      <w:r w:rsidRPr="00DF2263">
        <w:rPr>
          <w:rFonts w:cstheme="minorHAnsi"/>
          <w:b/>
          <w:sz w:val="24"/>
          <w:szCs w:val="24"/>
          <w:u w:val="single"/>
        </w:rPr>
        <w:t>2024-4</w:t>
      </w:r>
    </w:p>
    <w:p w14:paraId="7F17A2CE" w14:textId="1F3A06AF" w:rsidR="00DF2263" w:rsidRPr="00DF2263" w:rsidRDefault="00DF2263" w:rsidP="00DF2263">
      <w:pPr>
        <w:spacing w:after="0"/>
        <w:rPr>
          <w:sz w:val="24"/>
          <w:szCs w:val="24"/>
        </w:rPr>
      </w:pPr>
      <w:r w:rsidRPr="00DF2263">
        <w:rPr>
          <w:sz w:val="24"/>
          <w:szCs w:val="24"/>
        </w:rPr>
        <w:t xml:space="preserve">These recommended changes are derived from our annual review and updates to the National Institute of Standards and Technology (NIST). Special Publication 800-53 (Revision 5) Security Controls and Assessment Procedures for Federal Information Systems and NIST Cybersecurity Framework (CSF 2.0). </w:t>
      </w:r>
      <w:r w:rsidRPr="00DF2263">
        <w:rPr>
          <w:rFonts w:cstheme="minorHAnsi"/>
          <w:b/>
          <w:bCs/>
          <w:color w:val="FF0000"/>
          <w:sz w:val="24"/>
          <w:szCs w:val="24"/>
        </w:rPr>
        <w:t>(Recommended)</w:t>
      </w:r>
    </w:p>
    <w:p w14:paraId="4C28515E" w14:textId="77777777" w:rsidR="00DF2263" w:rsidRPr="00D82269" w:rsidRDefault="00DF2263" w:rsidP="00D419ED">
      <w:pPr>
        <w:spacing w:after="0" w:line="240" w:lineRule="auto"/>
        <w:rPr>
          <w:rFonts w:cstheme="minorHAnsi"/>
          <w:bCs/>
          <w:sz w:val="24"/>
          <w:szCs w:val="24"/>
        </w:rPr>
      </w:pPr>
    </w:p>
    <w:p w14:paraId="3174AC03" w14:textId="77777777" w:rsidR="00D419ED" w:rsidRPr="00573DEE" w:rsidRDefault="00D419ED" w:rsidP="00D419ED">
      <w:pPr>
        <w:spacing w:after="0" w:line="240" w:lineRule="auto"/>
        <w:rPr>
          <w:rFonts w:cstheme="minorHAnsi"/>
          <w:b/>
          <w:sz w:val="24"/>
          <w:szCs w:val="24"/>
          <w:u w:val="single"/>
        </w:rPr>
      </w:pPr>
      <w:r w:rsidRPr="00573DEE">
        <w:rPr>
          <w:rFonts w:cstheme="minorHAnsi"/>
          <w:b/>
          <w:sz w:val="24"/>
          <w:szCs w:val="24"/>
          <w:u w:val="single"/>
        </w:rPr>
        <w:t>Policy 73</w:t>
      </w:r>
      <w:r>
        <w:rPr>
          <w:rFonts w:cstheme="minorHAnsi"/>
          <w:b/>
          <w:sz w:val="24"/>
          <w:szCs w:val="24"/>
          <w:u w:val="single"/>
        </w:rPr>
        <w:t>02</w:t>
      </w:r>
      <w:r w:rsidRPr="00573DEE">
        <w:rPr>
          <w:rFonts w:cstheme="minorHAnsi"/>
          <w:b/>
          <w:sz w:val="24"/>
          <w:szCs w:val="24"/>
          <w:u w:val="single"/>
        </w:rPr>
        <w:t xml:space="preserve"> – Residential Real </w:t>
      </w:r>
      <w:r>
        <w:rPr>
          <w:rFonts w:cstheme="minorHAnsi"/>
          <w:b/>
          <w:sz w:val="24"/>
          <w:szCs w:val="24"/>
          <w:u w:val="single"/>
        </w:rPr>
        <w:t>Appraisals</w:t>
      </w:r>
    </w:p>
    <w:p w14:paraId="63F7B8F8" w14:textId="0D29D4EB" w:rsidR="00D419ED" w:rsidRDefault="00D419ED" w:rsidP="00D419ED">
      <w:pPr>
        <w:spacing w:after="0" w:line="240" w:lineRule="auto"/>
        <w:rPr>
          <w:rFonts w:cstheme="minorHAnsi"/>
          <w:b/>
          <w:sz w:val="24"/>
          <w:szCs w:val="24"/>
          <w:u w:val="single"/>
        </w:rPr>
      </w:pPr>
      <w:r>
        <w:rPr>
          <w:rFonts w:cstheme="minorHAnsi"/>
          <w:b/>
          <w:sz w:val="24"/>
          <w:szCs w:val="24"/>
          <w:u w:val="single"/>
        </w:rPr>
        <w:t>2024-</w:t>
      </w:r>
      <w:r w:rsidR="00974312">
        <w:rPr>
          <w:rFonts w:cstheme="minorHAnsi"/>
          <w:b/>
          <w:sz w:val="24"/>
          <w:szCs w:val="24"/>
          <w:u w:val="single"/>
        </w:rPr>
        <w:t>4</w:t>
      </w:r>
    </w:p>
    <w:p w14:paraId="317FDFAE" w14:textId="3BBAEE90" w:rsidR="00D419ED" w:rsidRPr="00573DEE" w:rsidRDefault="00D419ED" w:rsidP="00D419ED">
      <w:pPr>
        <w:spacing w:after="0" w:line="240" w:lineRule="auto"/>
        <w:rPr>
          <w:rFonts w:cstheme="minorHAnsi"/>
          <w:b/>
          <w:sz w:val="24"/>
          <w:szCs w:val="24"/>
          <w:u w:val="single"/>
        </w:rPr>
      </w:pPr>
      <w:r w:rsidRPr="00573DEE">
        <w:rPr>
          <w:rFonts w:cstheme="minorHAnsi"/>
          <w:sz w:val="24"/>
          <w:szCs w:val="24"/>
        </w:rPr>
        <w:t xml:space="preserve">This policy was revised </w:t>
      </w:r>
      <w:r>
        <w:rPr>
          <w:rFonts w:cstheme="minorHAnsi"/>
          <w:sz w:val="24"/>
          <w:szCs w:val="24"/>
        </w:rPr>
        <w:t xml:space="preserve">to reflect the higher priced mortgage loan appraisal exemption threshold.  The </w:t>
      </w:r>
      <w:hyperlink r:id="rId17" w:history="1">
        <w:r w:rsidRPr="002A6E4E">
          <w:rPr>
            <w:rStyle w:val="Hyperlink"/>
            <w:rFonts w:cstheme="minorHAnsi"/>
            <w:sz w:val="24"/>
            <w:szCs w:val="24"/>
          </w:rPr>
          <w:t>threshold changes each year based on the consumer price index</w:t>
        </w:r>
      </w:hyperlink>
      <w:r>
        <w:rPr>
          <w:rFonts w:cstheme="minorHAnsi"/>
          <w:sz w:val="24"/>
          <w:szCs w:val="24"/>
        </w:rPr>
        <w:t xml:space="preserve"> and increased to $</w:t>
      </w:r>
      <w:r w:rsidR="00974312">
        <w:rPr>
          <w:rFonts w:cstheme="minorHAnsi"/>
          <w:sz w:val="24"/>
          <w:szCs w:val="24"/>
        </w:rPr>
        <w:t>33,500</w:t>
      </w:r>
      <w:r>
        <w:rPr>
          <w:rFonts w:cstheme="minorHAnsi"/>
          <w:sz w:val="24"/>
          <w:szCs w:val="24"/>
        </w:rPr>
        <w:t xml:space="preserve"> for 202</w:t>
      </w:r>
      <w:r w:rsidR="00974312">
        <w:rPr>
          <w:rFonts w:cstheme="minorHAnsi"/>
          <w:sz w:val="24"/>
          <w:szCs w:val="24"/>
        </w:rPr>
        <w:t>5</w:t>
      </w:r>
      <w:r w:rsidRPr="00573DEE">
        <w:rPr>
          <w:rFonts w:cstheme="minorHAnsi"/>
          <w:sz w:val="24"/>
          <w:szCs w:val="24"/>
        </w:rPr>
        <w:t>.</w:t>
      </w:r>
      <w:r>
        <w:rPr>
          <w:rFonts w:cstheme="minorHAnsi"/>
          <w:sz w:val="24"/>
          <w:szCs w:val="24"/>
        </w:rPr>
        <w:t xml:space="preserve">  In addition, this policy was updated to reference reconsiderations of value procedures.</w:t>
      </w:r>
      <w:r w:rsidRPr="00573DEE">
        <w:rPr>
          <w:rFonts w:cstheme="minorHAnsi"/>
          <w:sz w:val="24"/>
          <w:szCs w:val="24"/>
        </w:rPr>
        <w:t xml:space="preserve">  </w:t>
      </w:r>
      <w:r>
        <w:rPr>
          <w:rFonts w:cstheme="minorHAnsi"/>
          <w:sz w:val="24"/>
          <w:szCs w:val="24"/>
        </w:rPr>
        <w:t xml:space="preserve"> </w:t>
      </w:r>
      <w:r w:rsidRPr="00573DEE">
        <w:rPr>
          <w:rFonts w:cstheme="minorHAnsi"/>
          <w:b/>
          <w:bCs/>
          <w:color w:val="FF0000"/>
          <w:sz w:val="24"/>
          <w:szCs w:val="24"/>
        </w:rPr>
        <w:t xml:space="preserve">(Required) </w:t>
      </w:r>
    </w:p>
    <w:p w14:paraId="11B4EB08" w14:textId="77777777" w:rsidR="00D419ED" w:rsidRDefault="00D419ED" w:rsidP="00D419ED">
      <w:pPr>
        <w:spacing w:after="0" w:line="240" w:lineRule="auto"/>
        <w:rPr>
          <w:rFonts w:cstheme="minorHAnsi"/>
          <w:b/>
          <w:sz w:val="24"/>
          <w:szCs w:val="24"/>
          <w:u w:val="single"/>
        </w:rPr>
      </w:pPr>
    </w:p>
    <w:p w14:paraId="65A92696" w14:textId="77777777" w:rsidR="00D419ED" w:rsidRPr="00E30CC6" w:rsidRDefault="00D419ED" w:rsidP="00D419ED">
      <w:pPr>
        <w:spacing w:after="0" w:line="240" w:lineRule="auto"/>
        <w:rPr>
          <w:rFonts w:cstheme="minorHAnsi"/>
          <w:bCs/>
          <w:sz w:val="24"/>
          <w:szCs w:val="24"/>
        </w:rPr>
      </w:pPr>
    </w:p>
    <w:p w14:paraId="253A3A4F" w14:textId="77777777" w:rsidR="00D419ED" w:rsidRPr="00573DEE" w:rsidRDefault="00D419ED" w:rsidP="00D419ED">
      <w:pPr>
        <w:spacing w:after="0" w:line="240" w:lineRule="auto"/>
        <w:rPr>
          <w:rFonts w:cstheme="minorHAnsi"/>
          <w:b/>
          <w:sz w:val="24"/>
          <w:szCs w:val="24"/>
          <w:u w:val="single"/>
        </w:rPr>
      </w:pPr>
      <w:r w:rsidRPr="00573DEE">
        <w:rPr>
          <w:rFonts w:cstheme="minorHAnsi"/>
          <w:b/>
          <w:sz w:val="24"/>
          <w:szCs w:val="24"/>
          <w:u w:val="single"/>
        </w:rPr>
        <w:t>Policy 7330 – Residential Real Estate Loans</w:t>
      </w:r>
    </w:p>
    <w:p w14:paraId="45DBBF2B" w14:textId="3107306B" w:rsidR="00D419ED" w:rsidRDefault="00D419ED" w:rsidP="00D419ED">
      <w:pPr>
        <w:spacing w:after="0" w:line="240" w:lineRule="auto"/>
        <w:rPr>
          <w:rFonts w:cstheme="minorHAnsi"/>
          <w:b/>
          <w:sz w:val="24"/>
          <w:szCs w:val="24"/>
          <w:u w:val="single"/>
        </w:rPr>
      </w:pPr>
      <w:r>
        <w:rPr>
          <w:rFonts w:cstheme="minorHAnsi"/>
          <w:b/>
          <w:sz w:val="24"/>
          <w:szCs w:val="24"/>
          <w:u w:val="single"/>
        </w:rPr>
        <w:t>2024-</w:t>
      </w:r>
      <w:r w:rsidR="00AA59C2">
        <w:rPr>
          <w:rFonts w:cstheme="minorHAnsi"/>
          <w:b/>
          <w:sz w:val="24"/>
          <w:szCs w:val="24"/>
          <w:u w:val="single"/>
        </w:rPr>
        <w:t>4</w:t>
      </w:r>
    </w:p>
    <w:p w14:paraId="1A419FA0" w14:textId="7386D823" w:rsidR="00D419ED" w:rsidRPr="00573DEE" w:rsidRDefault="00D419ED" w:rsidP="00D419ED">
      <w:pPr>
        <w:spacing w:after="0" w:line="240" w:lineRule="auto"/>
        <w:rPr>
          <w:rFonts w:cstheme="minorHAnsi"/>
          <w:b/>
          <w:sz w:val="24"/>
          <w:szCs w:val="24"/>
          <w:u w:val="single"/>
        </w:rPr>
      </w:pPr>
      <w:r w:rsidRPr="00573DEE">
        <w:rPr>
          <w:rFonts w:cstheme="minorHAnsi"/>
          <w:sz w:val="24"/>
          <w:szCs w:val="24"/>
        </w:rPr>
        <w:t xml:space="preserve">This policy was revised to adjust the </w:t>
      </w:r>
      <w:hyperlink r:id="rId18" w:history="1">
        <w:r w:rsidRPr="00573DEE">
          <w:rPr>
            <w:rStyle w:val="Hyperlink"/>
            <w:rFonts w:cstheme="minorHAnsi"/>
            <w:sz w:val="24"/>
            <w:szCs w:val="24"/>
          </w:rPr>
          <w:t>asset-based threshold</w:t>
        </w:r>
      </w:hyperlink>
      <w:r w:rsidRPr="00573DEE">
        <w:rPr>
          <w:rFonts w:cstheme="minorHAnsi"/>
          <w:sz w:val="24"/>
          <w:szCs w:val="24"/>
        </w:rPr>
        <w:t xml:space="preserve"> for determining if a credit union is a small creditor under the rules.</w:t>
      </w:r>
      <w:r>
        <w:rPr>
          <w:rFonts w:cstheme="minorHAnsi"/>
          <w:sz w:val="24"/>
          <w:szCs w:val="24"/>
        </w:rPr>
        <w:t xml:space="preserve">  This threshold has increased over 202</w:t>
      </w:r>
      <w:r w:rsidR="0010545A">
        <w:rPr>
          <w:rFonts w:cstheme="minorHAnsi"/>
          <w:sz w:val="24"/>
          <w:szCs w:val="24"/>
        </w:rPr>
        <w:t>4</w:t>
      </w:r>
      <w:r>
        <w:rPr>
          <w:rFonts w:cstheme="minorHAnsi"/>
          <w:sz w:val="24"/>
          <w:szCs w:val="24"/>
        </w:rPr>
        <w:t>.</w:t>
      </w:r>
      <w:r w:rsidRPr="00573DEE">
        <w:rPr>
          <w:rFonts w:cstheme="minorHAnsi"/>
          <w:sz w:val="24"/>
          <w:szCs w:val="24"/>
        </w:rPr>
        <w:t xml:space="preserve">  </w:t>
      </w:r>
      <w:r>
        <w:rPr>
          <w:rFonts w:cstheme="minorHAnsi"/>
          <w:sz w:val="24"/>
          <w:szCs w:val="24"/>
        </w:rPr>
        <w:t xml:space="preserve"> </w:t>
      </w:r>
      <w:r w:rsidRPr="00573DEE">
        <w:rPr>
          <w:rFonts w:cstheme="minorHAnsi"/>
          <w:b/>
          <w:bCs/>
          <w:color w:val="FF0000"/>
          <w:sz w:val="24"/>
          <w:szCs w:val="24"/>
        </w:rPr>
        <w:t xml:space="preserve">(Required) </w:t>
      </w:r>
    </w:p>
    <w:p w14:paraId="62959025" w14:textId="77777777" w:rsidR="00D419ED" w:rsidRPr="00573DEE" w:rsidRDefault="00D419ED" w:rsidP="00D419ED">
      <w:pPr>
        <w:spacing w:after="0" w:line="240" w:lineRule="auto"/>
        <w:rPr>
          <w:rFonts w:cstheme="minorHAnsi"/>
          <w:b/>
          <w:sz w:val="24"/>
          <w:szCs w:val="24"/>
          <w:u w:val="single"/>
        </w:rPr>
      </w:pPr>
    </w:p>
    <w:p w14:paraId="1EC7BF2C" w14:textId="77777777" w:rsidR="00D419ED" w:rsidRPr="00573DEE" w:rsidRDefault="00D419ED" w:rsidP="00D419ED">
      <w:pPr>
        <w:spacing w:after="0" w:line="240" w:lineRule="auto"/>
        <w:rPr>
          <w:rFonts w:cstheme="minorHAnsi"/>
          <w:b/>
          <w:sz w:val="24"/>
          <w:szCs w:val="24"/>
          <w:u w:val="single"/>
        </w:rPr>
      </w:pPr>
      <w:r w:rsidRPr="00573DEE">
        <w:rPr>
          <w:rFonts w:cstheme="minorHAnsi"/>
          <w:b/>
          <w:sz w:val="24"/>
          <w:szCs w:val="24"/>
          <w:u w:val="single"/>
        </w:rPr>
        <w:t>Policy 7350 – Ability to Repay</w:t>
      </w:r>
    </w:p>
    <w:p w14:paraId="6FFDCBC1" w14:textId="14FD1FBA" w:rsidR="00D419ED" w:rsidRDefault="00D419ED" w:rsidP="00D419ED">
      <w:pPr>
        <w:spacing w:after="0" w:line="240" w:lineRule="auto"/>
        <w:rPr>
          <w:rFonts w:cstheme="minorHAnsi"/>
          <w:b/>
          <w:sz w:val="24"/>
          <w:szCs w:val="24"/>
          <w:u w:val="single"/>
        </w:rPr>
      </w:pPr>
      <w:r>
        <w:rPr>
          <w:rFonts w:cstheme="minorHAnsi"/>
          <w:b/>
          <w:sz w:val="24"/>
          <w:szCs w:val="24"/>
          <w:u w:val="single"/>
        </w:rPr>
        <w:t>2024-</w:t>
      </w:r>
      <w:r w:rsidR="00E342BA">
        <w:rPr>
          <w:rFonts w:cstheme="minorHAnsi"/>
          <w:b/>
          <w:sz w:val="24"/>
          <w:szCs w:val="24"/>
          <w:u w:val="single"/>
        </w:rPr>
        <w:t>4</w:t>
      </w:r>
    </w:p>
    <w:p w14:paraId="767EA3F8" w14:textId="37FE145E" w:rsidR="00D419ED" w:rsidRPr="000742A0" w:rsidRDefault="00D419ED" w:rsidP="00D419ED">
      <w:pPr>
        <w:spacing w:after="0"/>
        <w:rPr>
          <w:rFonts w:cstheme="minorHAnsi"/>
          <w:sz w:val="24"/>
          <w:szCs w:val="24"/>
        </w:rPr>
      </w:pPr>
      <w:r w:rsidRPr="00573DEE">
        <w:rPr>
          <w:rFonts w:cstheme="minorHAnsi"/>
          <w:sz w:val="24"/>
          <w:szCs w:val="24"/>
        </w:rPr>
        <w:t xml:space="preserve">Policy 7350 was revised to comply with the annual changes made to the </w:t>
      </w:r>
      <w:hyperlink r:id="rId19" w:history="1">
        <w:r w:rsidRPr="00573DEE">
          <w:rPr>
            <w:rStyle w:val="Hyperlink"/>
            <w:rFonts w:cstheme="minorHAnsi"/>
            <w:sz w:val="24"/>
            <w:szCs w:val="24"/>
          </w:rPr>
          <w:t>points and fee thresholds</w:t>
        </w:r>
      </w:hyperlink>
      <w:r w:rsidRPr="00573DEE">
        <w:rPr>
          <w:rFonts w:cstheme="minorHAnsi"/>
          <w:sz w:val="24"/>
          <w:szCs w:val="24"/>
        </w:rPr>
        <w:t xml:space="preserve"> to determine if a mortgage is considered a qualified mortgage under the rules, based on the Consumer Price Index.  These changes become effective on January 1, 202</w:t>
      </w:r>
      <w:r w:rsidR="00E342BA">
        <w:rPr>
          <w:rFonts w:cstheme="minorHAnsi"/>
          <w:sz w:val="24"/>
          <w:szCs w:val="24"/>
        </w:rPr>
        <w:t>5</w:t>
      </w:r>
      <w:r w:rsidRPr="00573DEE">
        <w:rPr>
          <w:rFonts w:cstheme="minorHAnsi"/>
          <w:sz w:val="24"/>
          <w:szCs w:val="24"/>
        </w:rPr>
        <w:t>.  Changes were also made to reflect the price-based thresholds for the general qualified mortgage definition</w:t>
      </w:r>
      <w:r>
        <w:rPr>
          <w:rFonts w:cstheme="minorHAnsi"/>
          <w:sz w:val="24"/>
          <w:szCs w:val="24"/>
        </w:rPr>
        <w:t>, also effective on January 1, 202</w:t>
      </w:r>
      <w:r w:rsidR="00E342BA">
        <w:rPr>
          <w:rFonts w:cstheme="minorHAnsi"/>
          <w:sz w:val="24"/>
          <w:szCs w:val="24"/>
        </w:rPr>
        <w:t>5</w:t>
      </w:r>
      <w:r>
        <w:rPr>
          <w:rFonts w:cstheme="minorHAnsi"/>
          <w:sz w:val="24"/>
          <w:szCs w:val="24"/>
        </w:rPr>
        <w:t xml:space="preserve">.  </w:t>
      </w:r>
      <w:r w:rsidRPr="00573DEE">
        <w:rPr>
          <w:rFonts w:cstheme="minorHAnsi"/>
          <w:b/>
          <w:bCs/>
          <w:color w:val="FF0000"/>
          <w:sz w:val="24"/>
          <w:szCs w:val="24"/>
        </w:rPr>
        <w:t>(Required)</w:t>
      </w:r>
    </w:p>
    <w:p w14:paraId="736560D8" w14:textId="77777777" w:rsidR="00D419ED" w:rsidRPr="00573DEE" w:rsidRDefault="00D419ED" w:rsidP="00D419ED">
      <w:pPr>
        <w:spacing w:after="0" w:line="240" w:lineRule="auto"/>
        <w:rPr>
          <w:rFonts w:cstheme="minorHAnsi"/>
          <w:b/>
          <w:sz w:val="24"/>
          <w:szCs w:val="24"/>
          <w:u w:val="single"/>
        </w:rPr>
      </w:pPr>
    </w:p>
    <w:p w14:paraId="13413323" w14:textId="77777777" w:rsidR="00D419ED" w:rsidRPr="00573DEE" w:rsidRDefault="00D419ED" w:rsidP="00D419ED">
      <w:pPr>
        <w:spacing w:after="0"/>
        <w:rPr>
          <w:rFonts w:cstheme="minorHAnsi"/>
          <w:b/>
          <w:sz w:val="24"/>
          <w:szCs w:val="24"/>
          <w:u w:val="single"/>
        </w:rPr>
      </w:pPr>
      <w:r w:rsidRPr="00573DEE">
        <w:rPr>
          <w:rFonts w:cstheme="minorHAnsi"/>
          <w:b/>
          <w:sz w:val="24"/>
          <w:szCs w:val="24"/>
          <w:u w:val="single"/>
        </w:rPr>
        <w:t>Policy 7351 – Small Creditor Ability to Repay</w:t>
      </w:r>
    </w:p>
    <w:p w14:paraId="42457664" w14:textId="71761D76" w:rsidR="00E342BA" w:rsidRDefault="00D419ED" w:rsidP="00E342BA">
      <w:pPr>
        <w:spacing w:after="0" w:line="240" w:lineRule="auto"/>
        <w:rPr>
          <w:rFonts w:cstheme="minorHAnsi"/>
          <w:b/>
          <w:sz w:val="24"/>
          <w:szCs w:val="24"/>
          <w:u w:val="single"/>
        </w:rPr>
      </w:pPr>
      <w:r>
        <w:rPr>
          <w:rFonts w:cstheme="minorHAnsi"/>
          <w:b/>
          <w:sz w:val="24"/>
          <w:szCs w:val="24"/>
          <w:u w:val="single"/>
        </w:rPr>
        <w:t>2024-</w:t>
      </w:r>
      <w:r w:rsidR="00E342BA">
        <w:rPr>
          <w:rFonts w:cstheme="minorHAnsi"/>
          <w:b/>
          <w:sz w:val="24"/>
          <w:szCs w:val="24"/>
          <w:u w:val="single"/>
        </w:rPr>
        <w:t>4</w:t>
      </w:r>
    </w:p>
    <w:p w14:paraId="674EEAA1" w14:textId="5C67D629" w:rsidR="00D419ED" w:rsidRPr="00573DEE" w:rsidRDefault="00D419ED" w:rsidP="00E342BA">
      <w:pPr>
        <w:spacing w:after="0" w:line="240" w:lineRule="auto"/>
        <w:rPr>
          <w:rFonts w:cstheme="minorHAnsi"/>
          <w:sz w:val="24"/>
          <w:szCs w:val="24"/>
        </w:rPr>
      </w:pPr>
      <w:r w:rsidRPr="00573DEE">
        <w:rPr>
          <w:rFonts w:cstheme="minorHAnsi"/>
          <w:sz w:val="24"/>
          <w:szCs w:val="24"/>
        </w:rPr>
        <w:lastRenderedPageBreak/>
        <w:t>Policy 735</w:t>
      </w:r>
      <w:r>
        <w:rPr>
          <w:rFonts w:cstheme="minorHAnsi"/>
          <w:sz w:val="24"/>
          <w:szCs w:val="24"/>
        </w:rPr>
        <w:t>1</w:t>
      </w:r>
      <w:r w:rsidRPr="00573DEE">
        <w:rPr>
          <w:rFonts w:cstheme="minorHAnsi"/>
          <w:sz w:val="24"/>
          <w:szCs w:val="24"/>
        </w:rPr>
        <w:t xml:space="preserve"> was revised to comply with the annual changes made to the </w:t>
      </w:r>
      <w:hyperlink r:id="rId20" w:history="1">
        <w:r w:rsidRPr="00573DEE">
          <w:rPr>
            <w:rStyle w:val="Hyperlink"/>
            <w:rFonts w:cstheme="minorHAnsi"/>
            <w:sz w:val="24"/>
            <w:szCs w:val="24"/>
          </w:rPr>
          <w:t>points and fee thresholds</w:t>
        </w:r>
      </w:hyperlink>
      <w:r w:rsidRPr="00573DEE">
        <w:rPr>
          <w:rFonts w:cstheme="minorHAnsi"/>
          <w:sz w:val="24"/>
          <w:szCs w:val="24"/>
        </w:rPr>
        <w:t xml:space="preserve"> to determine if a mortgage is considered a qualified mortgage under the rules, based on the Consumer Price Index.  These changes become effective on January 1, 202</w:t>
      </w:r>
      <w:r w:rsidR="00E342BA">
        <w:rPr>
          <w:rFonts w:cstheme="minorHAnsi"/>
          <w:sz w:val="24"/>
          <w:szCs w:val="24"/>
        </w:rPr>
        <w:t>5</w:t>
      </w:r>
      <w:r w:rsidRPr="00573DEE">
        <w:rPr>
          <w:rFonts w:cstheme="minorHAnsi"/>
          <w:sz w:val="24"/>
          <w:szCs w:val="24"/>
        </w:rPr>
        <w:t>.</w:t>
      </w:r>
      <w:r>
        <w:rPr>
          <w:rFonts w:cstheme="minorHAnsi"/>
          <w:sz w:val="24"/>
          <w:szCs w:val="24"/>
        </w:rPr>
        <w:t xml:space="preserve"> </w:t>
      </w:r>
    </w:p>
    <w:p w14:paraId="598BFF9F" w14:textId="77777777" w:rsidR="00D419ED" w:rsidRPr="0094362A" w:rsidRDefault="00D419ED" w:rsidP="00D419ED">
      <w:pPr>
        <w:spacing w:after="0"/>
        <w:rPr>
          <w:rFonts w:cstheme="minorHAnsi"/>
          <w:b/>
          <w:bCs/>
          <w:color w:val="FF0000"/>
          <w:sz w:val="24"/>
          <w:szCs w:val="24"/>
        </w:rPr>
      </w:pPr>
      <w:r w:rsidRPr="00573DEE">
        <w:rPr>
          <w:rFonts w:cstheme="minorHAnsi"/>
          <w:b/>
          <w:bCs/>
          <w:color w:val="FF0000"/>
          <w:sz w:val="24"/>
          <w:szCs w:val="24"/>
        </w:rPr>
        <w:t>(Required)</w:t>
      </w:r>
    </w:p>
    <w:p w14:paraId="6ADA6E7F" w14:textId="77777777" w:rsidR="00D419ED" w:rsidRPr="00573DEE" w:rsidRDefault="00D419ED" w:rsidP="00D419ED">
      <w:pPr>
        <w:spacing w:after="0" w:line="240" w:lineRule="auto"/>
        <w:rPr>
          <w:rFonts w:cstheme="minorHAnsi"/>
          <w:bCs/>
          <w:sz w:val="24"/>
          <w:szCs w:val="24"/>
        </w:rPr>
      </w:pPr>
    </w:p>
    <w:p w14:paraId="58CDE204" w14:textId="77777777" w:rsidR="00D419ED" w:rsidRPr="00573DEE" w:rsidRDefault="00D419ED" w:rsidP="00D419ED">
      <w:pPr>
        <w:spacing w:after="0" w:line="240" w:lineRule="auto"/>
        <w:rPr>
          <w:rFonts w:cstheme="minorHAnsi"/>
          <w:b/>
          <w:sz w:val="24"/>
          <w:szCs w:val="24"/>
          <w:u w:val="single"/>
        </w:rPr>
      </w:pPr>
      <w:r w:rsidRPr="00573DEE">
        <w:rPr>
          <w:rFonts w:cstheme="minorHAnsi"/>
          <w:b/>
          <w:sz w:val="24"/>
          <w:szCs w:val="24"/>
          <w:u w:val="single"/>
        </w:rPr>
        <w:t>Policy 7370 – HOEPA Rule Requirement</w:t>
      </w:r>
    </w:p>
    <w:p w14:paraId="6D64923C" w14:textId="13EEA290" w:rsidR="00D419ED" w:rsidRDefault="00D419ED" w:rsidP="00D419ED">
      <w:pPr>
        <w:spacing w:after="0" w:line="240" w:lineRule="auto"/>
        <w:rPr>
          <w:rFonts w:cstheme="minorHAnsi"/>
          <w:b/>
          <w:sz w:val="24"/>
          <w:szCs w:val="24"/>
          <w:u w:val="single"/>
        </w:rPr>
      </w:pPr>
      <w:r>
        <w:rPr>
          <w:rFonts w:cstheme="minorHAnsi"/>
          <w:b/>
          <w:sz w:val="24"/>
          <w:szCs w:val="24"/>
          <w:u w:val="single"/>
        </w:rPr>
        <w:t>2024-</w:t>
      </w:r>
      <w:r w:rsidR="00024539">
        <w:rPr>
          <w:rFonts w:cstheme="minorHAnsi"/>
          <w:b/>
          <w:sz w:val="24"/>
          <w:szCs w:val="24"/>
          <w:u w:val="single"/>
        </w:rPr>
        <w:t>4</w:t>
      </w:r>
    </w:p>
    <w:p w14:paraId="464AFF62" w14:textId="2D4EEBE2" w:rsidR="00D419ED" w:rsidRPr="00573DEE" w:rsidRDefault="00D419ED" w:rsidP="00D419ED">
      <w:pPr>
        <w:spacing w:after="0" w:line="240" w:lineRule="auto"/>
        <w:rPr>
          <w:rFonts w:cstheme="minorHAnsi"/>
          <w:b/>
          <w:bCs/>
          <w:color w:val="FF0000"/>
          <w:sz w:val="24"/>
          <w:szCs w:val="24"/>
        </w:rPr>
      </w:pPr>
      <w:r w:rsidRPr="00573DEE">
        <w:rPr>
          <w:rFonts w:cstheme="minorHAnsi"/>
          <w:sz w:val="24"/>
          <w:szCs w:val="24"/>
        </w:rPr>
        <w:t xml:space="preserve">The </w:t>
      </w:r>
      <w:hyperlink r:id="rId21" w:history="1">
        <w:r w:rsidRPr="00573DEE">
          <w:rPr>
            <w:rStyle w:val="Hyperlink"/>
            <w:rFonts w:cstheme="minorHAnsi"/>
            <w:sz w:val="24"/>
            <w:szCs w:val="24"/>
          </w:rPr>
          <w:t>thresholds for determining if a loan is covered under HOEPA</w:t>
        </w:r>
      </w:hyperlink>
      <w:r w:rsidRPr="00573DEE">
        <w:rPr>
          <w:rFonts w:cstheme="minorHAnsi"/>
          <w:sz w:val="24"/>
          <w:szCs w:val="24"/>
        </w:rPr>
        <w:t xml:space="preserve"> were also adjusted for January 1, 202</w:t>
      </w:r>
      <w:r w:rsidR="000C4A2A">
        <w:rPr>
          <w:rFonts w:cstheme="minorHAnsi"/>
          <w:sz w:val="24"/>
          <w:szCs w:val="24"/>
        </w:rPr>
        <w:t>5</w:t>
      </w:r>
      <w:r w:rsidRPr="00573DEE">
        <w:rPr>
          <w:rFonts w:cstheme="minorHAnsi"/>
          <w:sz w:val="24"/>
          <w:szCs w:val="24"/>
        </w:rPr>
        <w:t xml:space="preserve"> and these amounts were updated in the policy accordingly. </w:t>
      </w:r>
      <w:r w:rsidRPr="00573DEE">
        <w:rPr>
          <w:rFonts w:cstheme="minorHAnsi"/>
          <w:b/>
          <w:bCs/>
          <w:color w:val="FF0000"/>
          <w:sz w:val="24"/>
          <w:szCs w:val="24"/>
        </w:rPr>
        <w:t>(Required)</w:t>
      </w:r>
    </w:p>
    <w:p w14:paraId="4634288B" w14:textId="77777777" w:rsidR="00D419ED" w:rsidRPr="00573DEE" w:rsidRDefault="00D419ED" w:rsidP="00CE4D7F">
      <w:pPr>
        <w:spacing w:after="0"/>
        <w:rPr>
          <w:rFonts w:cstheme="minorHAnsi"/>
          <w:b/>
          <w:bCs/>
          <w:color w:val="FF0000"/>
          <w:sz w:val="24"/>
          <w:szCs w:val="24"/>
        </w:rPr>
      </w:pPr>
    </w:p>
    <w:p w14:paraId="5A044372" w14:textId="77777777" w:rsidR="00D419ED" w:rsidRPr="00573DEE" w:rsidRDefault="00D419ED" w:rsidP="00CE4D7F">
      <w:pPr>
        <w:spacing w:after="0" w:line="240" w:lineRule="auto"/>
        <w:rPr>
          <w:rFonts w:cstheme="minorHAnsi"/>
          <w:b/>
          <w:sz w:val="24"/>
          <w:szCs w:val="24"/>
          <w:u w:val="single"/>
        </w:rPr>
      </w:pPr>
      <w:r w:rsidRPr="00573DEE">
        <w:rPr>
          <w:rFonts w:cstheme="minorHAnsi"/>
          <w:b/>
          <w:sz w:val="24"/>
          <w:szCs w:val="24"/>
          <w:u w:val="single"/>
        </w:rPr>
        <w:t>Policy 9200 – Home Mortgage Disclosure Act</w:t>
      </w:r>
    </w:p>
    <w:p w14:paraId="709C5C48" w14:textId="2D3A358C" w:rsidR="00D419ED" w:rsidRDefault="00D419ED" w:rsidP="00CE4D7F">
      <w:pPr>
        <w:spacing w:after="0" w:line="240" w:lineRule="auto"/>
        <w:rPr>
          <w:rFonts w:cstheme="minorHAnsi"/>
          <w:b/>
          <w:sz w:val="24"/>
          <w:szCs w:val="24"/>
          <w:u w:val="single"/>
        </w:rPr>
      </w:pPr>
      <w:r>
        <w:rPr>
          <w:rFonts w:cstheme="minorHAnsi"/>
          <w:b/>
          <w:sz w:val="24"/>
          <w:szCs w:val="24"/>
          <w:u w:val="single"/>
        </w:rPr>
        <w:t>2024-</w:t>
      </w:r>
      <w:r w:rsidR="00AD34C5">
        <w:rPr>
          <w:rFonts w:cstheme="minorHAnsi"/>
          <w:b/>
          <w:sz w:val="24"/>
          <w:szCs w:val="24"/>
          <w:u w:val="single"/>
        </w:rPr>
        <w:t>4</w:t>
      </w:r>
    </w:p>
    <w:p w14:paraId="398D1744" w14:textId="06183CFD" w:rsidR="00D419ED" w:rsidRPr="00573DEE" w:rsidRDefault="00D419ED" w:rsidP="00CE4D7F">
      <w:pPr>
        <w:spacing w:after="0" w:line="240" w:lineRule="auto"/>
        <w:rPr>
          <w:rFonts w:cstheme="minorHAnsi"/>
          <w:b/>
          <w:bCs/>
          <w:color w:val="FF0000"/>
          <w:sz w:val="24"/>
          <w:szCs w:val="24"/>
        </w:rPr>
      </w:pPr>
      <w:r w:rsidRPr="00573DEE">
        <w:rPr>
          <w:rFonts w:cstheme="minorHAnsi"/>
          <w:sz w:val="24"/>
          <w:szCs w:val="24"/>
        </w:rPr>
        <w:t xml:space="preserve">This policy was updated to reflect the </w:t>
      </w:r>
      <w:hyperlink r:id="rId22" w:history="1">
        <w:r w:rsidRPr="00573DEE">
          <w:rPr>
            <w:rStyle w:val="Hyperlink"/>
            <w:rFonts w:cstheme="minorHAnsi"/>
            <w:sz w:val="24"/>
            <w:szCs w:val="24"/>
          </w:rPr>
          <w:t>annual threshold change</w:t>
        </w:r>
      </w:hyperlink>
      <w:r w:rsidRPr="00573DEE">
        <w:rPr>
          <w:rFonts w:cstheme="minorHAnsi"/>
          <w:sz w:val="24"/>
          <w:szCs w:val="24"/>
        </w:rPr>
        <w:t xml:space="preserve"> to determine asset size coverage for the rule, which has increased to $</w:t>
      </w:r>
      <w:r>
        <w:rPr>
          <w:rFonts w:cstheme="minorHAnsi"/>
          <w:sz w:val="24"/>
          <w:szCs w:val="24"/>
        </w:rPr>
        <w:t>5</w:t>
      </w:r>
      <w:r w:rsidR="00400E89">
        <w:rPr>
          <w:rFonts w:cstheme="minorHAnsi"/>
          <w:sz w:val="24"/>
          <w:szCs w:val="24"/>
        </w:rPr>
        <w:t>8</w:t>
      </w:r>
      <w:r w:rsidRPr="00573DEE">
        <w:rPr>
          <w:rFonts w:cstheme="minorHAnsi"/>
          <w:sz w:val="24"/>
          <w:szCs w:val="24"/>
        </w:rPr>
        <w:t xml:space="preserve"> million.  Credit unions below this asset size, will not be required to report HMDA data. </w:t>
      </w:r>
      <w:r>
        <w:rPr>
          <w:rFonts w:cstheme="minorHAnsi"/>
          <w:sz w:val="24"/>
          <w:szCs w:val="24"/>
        </w:rPr>
        <w:t xml:space="preserve"> </w:t>
      </w:r>
      <w:r w:rsidRPr="00573DEE">
        <w:rPr>
          <w:rFonts w:cstheme="minorHAnsi"/>
          <w:b/>
          <w:bCs/>
          <w:color w:val="FF0000"/>
          <w:sz w:val="24"/>
          <w:szCs w:val="24"/>
        </w:rPr>
        <w:t>(Required)</w:t>
      </w:r>
    </w:p>
    <w:p w14:paraId="74C24EC3" w14:textId="77777777" w:rsidR="00D419ED" w:rsidRPr="00573DEE" w:rsidRDefault="00D419ED" w:rsidP="00D419ED">
      <w:pPr>
        <w:spacing w:after="0" w:line="240" w:lineRule="auto"/>
        <w:rPr>
          <w:rFonts w:cstheme="minorHAnsi"/>
          <w:b/>
          <w:sz w:val="24"/>
          <w:szCs w:val="24"/>
          <w:u w:val="single"/>
        </w:rPr>
      </w:pPr>
    </w:p>
    <w:p w14:paraId="5D547E7B" w14:textId="77777777" w:rsidR="00D419ED" w:rsidRPr="00573DEE" w:rsidRDefault="00D419ED" w:rsidP="00D419ED">
      <w:pPr>
        <w:spacing w:after="0" w:line="240" w:lineRule="auto"/>
        <w:rPr>
          <w:rFonts w:cstheme="minorHAnsi"/>
          <w:b/>
          <w:sz w:val="24"/>
          <w:szCs w:val="24"/>
          <w:u w:val="single"/>
        </w:rPr>
      </w:pPr>
      <w:r w:rsidRPr="00573DEE">
        <w:rPr>
          <w:rFonts w:cstheme="minorHAnsi"/>
          <w:b/>
          <w:sz w:val="24"/>
          <w:szCs w:val="24"/>
          <w:u w:val="single"/>
        </w:rPr>
        <w:t>Policy 9220 – Home Ownership and Equity Protection Act</w:t>
      </w:r>
    </w:p>
    <w:p w14:paraId="0D852767" w14:textId="5B175F58" w:rsidR="00D419ED" w:rsidRDefault="00D419ED" w:rsidP="00D419ED">
      <w:pPr>
        <w:spacing w:after="0" w:line="240" w:lineRule="auto"/>
        <w:rPr>
          <w:rFonts w:cstheme="minorHAnsi"/>
          <w:b/>
          <w:sz w:val="24"/>
          <w:szCs w:val="24"/>
          <w:u w:val="single"/>
        </w:rPr>
      </w:pPr>
      <w:r>
        <w:rPr>
          <w:rFonts w:cstheme="minorHAnsi"/>
          <w:b/>
          <w:sz w:val="24"/>
          <w:szCs w:val="24"/>
          <w:u w:val="single"/>
        </w:rPr>
        <w:t>2024-</w:t>
      </w:r>
      <w:r w:rsidR="006319D9">
        <w:rPr>
          <w:rFonts w:cstheme="minorHAnsi"/>
          <w:b/>
          <w:sz w:val="24"/>
          <w:szCs w:val="24"/>
          <w:u w:val="single"/>
        </w:rPr>
        <w:t>4</w:t>
      </w:r>
    </w:p>
    <w:p w14:paraId="4845516A" w14:textId="66C2B2ED" w:rsidR="00D419ED" w:rsidRPr="00573DEE" w:rsidRDefault="00D419ED" w:rsidP="00D419ED">
      <w:pPr>
        <w:spacing w:after="0" w:line="240" w:lineRule="auto"/>
        <w:rPr>
          <w:rFonts w:cstheme="minorHAnsi"/>
          <w:b/>
          <w:bCs/>
          <w:color w:val="FF0000"/>
          <w:sz w:val="24"/>
          <w:szCs w:val="24"/>
        </w:rPr>
      </w:pPr>
      <w:r w:rsidRPr="00573DEE">
        <w:rPr>
          <w:rFonts w:cstheme="minorHAnsi"/>
          <w:sz w:val="24"/>
          <w:szCs w:val="24"/>
        </w:rPr>
        <w:t xml:space="preserve">Similar to the changes made to Policy 7370, this policy was also revised to adjust the </w:t>
      </w:r>
      <w:hyperlink r:id="rId23" w:history="1">
        <w:r w:rsidRPr="00573DEE">
          <w:rPr>
            <w:rStyle w:val="Hyperlink"/>
            <w:rFonts w:cstheme="minorHAnsi"/>
            <w:sz w:val="24"/>
            <w:szCs w:val="24"/>
          </w:rPr>
          <w:t>thresholds for determining if a loan is covered under HOEPA</w:t>
        </w:r>
      </w:hyperlink>
      <w:r w:rsidRPr="00573DEE">
        <w:rPr>
          <w:rFonts w:cstheme="minorHAnsi"/>
          <w:sz w:val="24"/>
          <w:szCs w:val="24"/>
        </w:rPr>
        <w:t>, effective January 1, 202</w:t>
      </w:r>
      <w:r w:rsidR="006319D9">
        <w:rPr>
          <w:rFonts w:cstheme="minorHAnsi"/>
          <w:sz w:val="24"/>
          <w:szCs w:val="24"/>
        </w:rPr>
        <w:t>5</w:t>
      </w:r>
      <w:r w:rsidRPr="00573DEE">
        <w:rPr>
          <w:rFonts w:cstheme="minorHAnsi"/>
          <w:sz w:val="24"/>
          <w:szCs w:val="24"/>
        </w:rPr>
        <w:t>.</w:t>
      </w:r>
      <w:r>
        <w:rPr>
          <w:rFonts w:cstheme="minorHAnsi"/>
          <w:sz w:val="24"/>
          <w:szCs w:val="24"/>
        </w:rPr>
        <w:t xml:space="preserve"> </w:t>
      </w:r>
      <w:r w:rsidRPr="00573DEE">
        <w:rPr>
          <w:rFonts w:cstheme="minorHAnsi"/>
          <w:b/>
          <w:bCs/>
          <w:color w:val="FF0000"/>
          <w:sz w:val="24"/>
          <w:szCs w:val="24"/>
        </w:rPr>
        <w:t>(Required)</w:t>
      </w:r>
    </w:p>
    <w:p w14:paraId="265135C9" w14:textId="77777777" w:rsidR="00D419ED" w:rsidRPr="00573DEE" w:rsidRDefault="00D419ED" w:rsidP="00D419ED"/>
    <w:p w14:paraId="1489378A" w14:textId="77777777" w:rsidR="00D419ED" w:rsidRPr="00573DEE" w:rsidRDefault="00D419ED" w:rsidP="00D419ED">
      <w:pPr>
        <w:spacing w:after="0" w:line="240" w:lineRule="auto"/>
        <w:rPr>
          <w:rFonts w:cstheme="minorHAnsi"/>
          <w:b/>
          <w:sz w:val="24"/>
          <w:szCs w:val="24"/>
          <w:u w:val="single"/>
        </w:rPr>
      </w:pPr>
      <w:r w:rsidRPr="00573DEE">
        <w:rPr>
          <w:rFonts w:cstheme="minorHAnsi"/>
          <w:b/>
          <w:sz w:val="24"/>
          <w:szCs w:val="24"/>
          <w:u w:val="single"/>
        </w:rPr>
        <w:t>Policy 9420 – Regulation D – Monetary Control Act</w:t>
      </w:r>
    </w:p>
    <w:p w14:paraId="6F24629A" w14:textId="75BBC28C" w:rsidR="00D419ED" w:rsidRDefault="00D419ED" w:rsidP="00D419ED">
      <w:pPr>
        <w:spacing w:after="0" w:line="240" w:lineRule="auto"/>
        <w:rPr>
          <w:rFonts w:cstheme="minorHAnsi"/>
          <w:b/>
          <w:sz w:val="24"/>
          <w:szCs w:val="24"/>
          <w:u w:val="single"/>
        </w:rPr>
      </w:pPr>
      <w:r>
        <w:rPr>
          <w:rFonts w:cstheme="minorHAnsi"/>
          <w:b/>
          <w:sz w:val="24"/>
          <w:szCs w:val="24"/>
          <w:u w:val="single"/>
        </w:rPr>
        <w:t>2024-</w:t>
      </w:r>
      <w:r w:rsidR="002A231C">
        <w:rPr>
          <w:rFonts w:cstheme="minorHAnsi"/>
          <w:b/>
          <w:sz w:val="24"/>
          <w:szCs w:val="24"/>
          <w:u w:val="single"/>
        </w:rPr>
        <w:t>4</w:t>
      </w:r>
    </w:p>
    <w:p w14:paraId="61E793FF" w14:textId="5563B25B" w:rsidR="00D419ED" w:rsidRPr="00A361A8" w:rsidRDefault="00D419ED" w:rsidP="00D419ED">
      <w:pPr>
        <w:spacing w:after="0" w:line="240" w:lineRule="auto"/>
        <w:rPr>
          <w:rFonts w:cstheme="minorHAnsi"/>
          <w:color w:val="FF0000"/>
          <w:sz w:val="24"/>
          <w:szCs w:val="24"/>
        </w:rPr>
      </w:pPr>
      <w:r w:rsidRPr="00573DEE">
        <w:rPr>
          <w:rFonts w:cstheme="minorHAnsi"/>
          <w:sz w:val="24"/>
          <w:szCs w:val="24"/>
        </w:rPr>
        <w:t xml:space="preserve">Even though the reserve requirements are still set at zero, the </w:t>
      </w:r>
      <w:hyperlink r:id="rId24" w:history="1">
        <w:r w:rsidRPr="00573DEE">
          <w:rPr>
            <w:rStyle w:val="Hyperlink"/>
            <w:rFonts w:cstheme="minorHAnsi"/>
            <w:sz w:val="24"/>
            <w:szCs w:val="24"/>
          </w:rPr>
          <w:t>reserve requirements thresholds</w:t>
        </w:r>
      </w:hyperlink>
      <w:r w:rsidRPr="00573DEE">
        <w:rPr>
          <w:rFonts w:cstheme="minorHAnsi"/>
          <w:sz w:val="24"/>
          <w:szCs w:val="24"/>
        </w:rPr>
        <w:t xml:space="preserve"> amounts are updated each year.  These changes are now reflected within the policy</w:t>
      </w:r>
      <w:r>
        <w:rPr>
          <w:rFonts w:cstheme="minorHAnsi"/>
          <w:sz w:val="24"/>
          <w:szCs w:val="24"/>
        </w:rPr>
        <w:t xml:space="preserve">.  </w:t>
      </w:r>
      <w:r w:rsidRPr="00573DEE">
        <w:rPr>
          <w:rFonts w:cstheme="minorHAnsi"/>
          <w:b/>
          <w:bCs/>
          <w:color w:val="FF0000"/>
          <w:sz w:val="24"/>
          <w:szCs w:val="24"/>
        </w:rPr>
        <w:t>(Required)</w:t>
      </w:r>
    </w:p>
    <w:p w14:paraId="0C2586C4" w14:textId="77777777" w:rsidR="00D419ED" w:rsidRDefault="00D419ED" w:rsidP="00D419ED">
      <w:pPr>
        <w:spacing w:after="0"/>
        <w:rPr>
          <w:rFonts w:cstheme="minorHAnsi"/>
          <w:b/>
          <w:bCs/>
          <w:color w:val="FF0000"/>
          <w:sz w:val="24"/>
          <w:szCs w:val="24"/>
        </w:rPr>
      </w:pPr>
    </w:p>
    <w:p w14:paraId="7DC39357" w14:textId="77777777" w:rsidR="00974CD8" w:rsidRDefault="00974CD8" w:rsidP="00265110">
      <w:pPr>
        <w:spacing w:after="0"/>
        <w:rPr>
          <w:b/>
          <w:bCs/>
          <w:u w:val="single"/>
        </w:rPr>
      </w:pPr>
    </w:p>
    <w:p w14:paraId="552EC02D" w14:textId="77777777" w:rsidR="002A7D9B" w:rsidRDefault="002A7D9B" w:rsidP="00265110">
      <w:pPr>
        <w:spacing w:after="0"/>
        <w:rPr>
          <w:b/>
          <w:bCs/>
          <w:u w:val="single"/>
        </w:rPr>
      </w:pPr>
    </w:p>
    <w:sectPr w:rsidR="002A7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64B85"/>
    <w:multiLevelType w:val="hybridMultilevel"/>
    <w:tmpl w:val="060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3369B"/>
    <w:multiLevelType w:val="multilevel"/>
    <w:tmpl w:val="16E00B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06761">
    <w:abstractNumId w:val="0"/>
  </w:num>
  <w:num w:numId="2" w16cid:durableId="2045401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96"/>
    <w:rsid w:val="00005F1D"/>
    <w:rsid w:val="0001105F"/>
    <w:rsid w:val="00024539"/>
    <w:rsid w:val="00051256"/>
    <w:rsid w:val="000571F9"/>
    <w:rsid w:val="000656D1"/>
    <w:rsid w:val="00065AF3"/>
    <w:rsid w:val="000703DC"/>
    <w:rsid w:val="00075DB5"/>
    <w:rsid w:val="000A5873"/>
    <w:rsid w:val="000A5AE0"/>
    <w:rsid w:val="000C256A"/>
    <w:rsid w:val="000C4A2A"/>
    <w:rsid w:val="000D36F1"/>
    <w:rsid w:val="0010545A"/>
    <w:rsid w:val="00106BAB"/>
    <w:rsid w:val="00130C07"/>
    <w:rsid w:val="00147B35"/>
    <w:rsid w:val="001B142D"/>
    <w:rsid w:val="001B6BF5"/>
    <w:rsid w:val="001E2B5D"/>
    <w:rsid w:val="001E6510"/>
    <w:rsid w:val="00202864"/>
    <w:rsid w:val="00223170"/>
    <w:rsid w:val="00265110"/>
    <w:rsid w:val="002866BB"/>
    <w:rsid w:val="002A231C"/>
    <w:rsid w:val="002A7D9B"/>
    <w:rsid w:val="002C5360"/>
    <w:rsid w:val="002C6708"/>
    <w:rsid w:val="00320AEB"/>
    <w:rsid w:val="0033429E"/>
    <w:rsid w:val="00334341"/>
    <w:rsid w:val="003449EC"/>
    <w:rsid w:val="0035436E"/>
    <w:rsid w:val="003A3463"/>
    <w:rsid w:val="00400E89"/>
    <w:rsid w:val="0042083A"/>
    <w:rsid w:val="004248AF"/>
    <w:rsid w:val="0044029D"/>
    <w:rsid w:val="00460C81"/>
    <w:rsid w:val="0048365B"/>
    <w:rsid w:val="00496214"/>
    <w:rsid w:val="004C35BC"/>
    <w:rsid w:val="004E1B75"/>
    <w:rsid w:val="00510527"/>
    <w:rsid w:val="00511737"/>
    <w:rsid w:val="00596E7C"/>
    <w:rsid w:val="005C02ED"/>
    <w:rsid w:val="005C5319"/>
    <w:rsid w:val="0061524B"/>
    <w:rsid w:val="006319D9"/>
    <w:rsid w:val="00631BE4"/>
    <w:rsid w:val="00656B1F"/>
    <w:rsid w:val="006F1EB8"/>
    <w:rsid w:val="006F33D8"/>
    <w:rsid w:val="0072144A"/>
    <w:rsid w:val="00744826"/>
    <w:rsid w:val="007451E0"/>
    <w:rsid w:val="007C1ABB"/>
    <w:rsid w:val="007F481F"/>
    <w:rsid w:val="008460E3"/>
    <w:rsid w:val="00884418"/>
    <w:rsid w:val="008A55DD"/>
    <w:rsid w:val="00926870"/>
    <w:rsid w:val="00926A6D"/>
    <w:rsid w:val="00967559"/>
    <w:rsid w:val="00974312"/>
    <w:rsid w:val="00974CD8"/>
    <w:rsid w:val="00977E35"/>
    <w:rsid w:val="00997DE5"/>
    <w:rsid w:val="009A42F5"/>
    <w:rsid w:val="009A6F96"/>
    <w:rsid w:val="009A7852"/>
    <w:rsid w:val="009B4566"/>
    <w:rsid w:val="009C5950"/>
    <w:rsid w:val="009D53E1"/>
    <w:rsid w:val="009F534C"/>
    <w:rsid w:val="00A16481"/>
    <w:rsid w:val="00A25397"/>
    <w:rsid w:val="00A83C31"/>
    <w:rsid w:val="00A86223"/>
    <w:rsid w:val="00AA59C2"/>
    <w:rsid w:val="00AD34C5"/>
    <w:rsid w:val="00AF75B6"/>
    <w:rsid w:val="00B51240"/>
    <w:rsid w:val="00B65DB0"/>
    <w:rsid w:val="00B6692C"/>
    <w:rsid w:val="00B9170B"/>
    <w:rsid w:val="00BD4657"/>
    <w:rsid w:val="00BF681F"/>
    <w:rsid w:val="00C032B9"/>
    <w:rsid w:val="00C0473F"/>
    <w:rsid w:val="00C3506B"/>
    <w:rsid w:val="00C3549E"/>
    <w:rsid w:val="00C45CC6"/>
    <w:rsid w:val="00C46CE3"/>
    <w:rsid w:val="00C877BB"/>
    <w:rsid w:val="00CA4D13"/>
    <w:rsid w:val="00CC5EC0"/>
    <w:rsid w:val="00CE4D7F"/>
    <w:rsid w:val="00D01953"/>
    <w:rsid w:val="00D16C86"/>
    <w:rsid w:val="00D379F9"/>
    <w:rsid w:val="00D419ED"/>
    <w:rsid w:val="00D62B8E"/>
    <w:rsid w:val="00D82269"/>
    <w:rsid w:val="00DD2B60"/>
    <w:rsid w:val="00DF2263"/>
    <w:rsid w:val="00E27F40"/>
    <w:rsid w:val="00E27FE8"/>
    <w:rsid w:val="00E342BA"/>
    <w:rsid w:val="00E50667"/>
    <w:rsid w:val="00E61CE5"/>
    <w:rsid w:val="00E64902"/>
    <w:rsid w:val="00E8694E"/>
    <w:rsid w:val="00ED78F3"/>
    <w:rsid w:val="00EF30F8"/>
    <w:rsid w:val="00EF582B"/>
    <w:rsid w:val="00F37738"/>
    <w:rsid w:val="00F377B9"/>
    <w:rsid w:val="00F43D87"/>
    <w:rsid w:val="00F84209"/>
    <w:rsid w:val="00FA7587"/>
    <w:rsid w:val="00FC38BF"/>
    <w:rsid w:val="00FC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7E0F"/>
  <w15:chartTrackingRefBased/>
  <w15:docId w15:val="{037335DC-57EC-4550-9151-97A9A248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F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F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F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F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F96"/>
    <w:rPr>
      <w:rFonts w:eastAsiaTheme="majorEastAsia" w:cstheme="majorBidi"/>
      <w:color w:val="272727" w:themeColor="text1" w:themeTint="D8"/>
    </w:rPr>
  </w:style>
  <w:style w:type="paragraph" w:styleId="Title">
    <w:name w:val="Title"/>
    <w:basedOn w:val="Normal"/>
    <w:next w:val="Normal"/>
    <w:link w:val="TitleChar"/>
    <w:uiPriority w:val="10"/>
    <w:qFormat/>
    <w:rsid w:val="009A6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F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F96"/>
    <w:pPr>
      <w:spacing w:before="160"/>
      <w:jc w:val="center"/>
    </w:pPr>
    <w:rPr>
      <w:i/>
      <w:iCs/>
      <w:color w:val="404040" w:themeColor="text1" w:themeTint="BF"/>
    </w:rPr>
  </w:style>
  <w:style w:type="character" w:customStyle="1" w:styleId="QuoteChar">
    <w:name w:val="Quote Char"/>
    <w:basedOn w:val="DefaultParagraphFont"/>
    <w:link w:val="Quote"/>
    <w:uiPriority w:val="29"/>
    <w:rsid w:val="009A6F96"/>
    <w:rPr>
      <w:i/>
      <w:iCs/>
      <w:color w:val="404040" w:themeColor="text1" w:themeTint="BF"/>
    </w:rPr>
  </w:style>
  <w:style w:type="paragraph" w:styleId="ListParagraph">
    <w:name w:val="List Paragraph"/>
    <w:basedOn w:val="Normal"/>
    <w:uiPriority w:val="34"/>
    <w:qFormat/>
    <w:rsid w:val="009A6F96"/>
    <w:pPr>
      <w:ind w:left="720"/>
      <w:contextualSpacing/>
    </w:pPr>
  </w:style>
  <w:style w:type="character" w:styleId="IntenseEmphasis">
    <w:name w:val="Intense Emphasis"/>
    <w:basedOn w:val="DefaultParagraphFont"/>
    <w:uiPriority w:val="21"/>
    <w:qFormat/>
    <w:rsid w:val="009A6F96"/>
    <w:rPr>
      <w:i/>
      <w:iCs/>
      <w:color w:val="0F4761" w:themeColor="accent1" w:themeShade="BF"/>
    </w:rPr>
  </w:style>
  <w:style w:type="paragraph" w:styleId="IntenseQuote">
    <w:name w:val="Intense Quote"/>
    <w:basedOn w:val="Normal"/>
    <w:next w:val="Normal"/>
    <w:link w:val="IntenseQuoteChar"/>
    <w:uiPriority w:val="30"/>
    <w:qFormat/>
    <w:rsid w:val="009A6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F96"/>
    <w:rPr>
      <w:i/>
      <w:iCs/>
      <w:color w:val="0F4761" w:themeColor="accent1" w:themeShade="BF"/>
    </w:rPr>
  </w:style>
  <w:style w:type="character" w:styleId="IntenseReference">
    <w:name w:val="Intense Reference"/>
    <w:basedOn w:val="DefaultParagraphFont"/>
    <w:uiPriority w:val="32"/>
    <w:qFormat/>
    <w:rsid w:val="009A6F96"/>
    <w:rPr>
      <w:b/>
      <w:bCs/>
      <w:smallCaps/>
      <w:color w:val="0F4761" w:themeColor="accent1" w:themeShade="BF"/>
      <w:spacing w:val="5"/>
    </w:rPr>
  </w:style>
  <w:style w:type="character" w:styleId="Hyperlink">
    <w:name w:val="Hyperlink"/>
    <w:basedOn w:val="DefaultParagraphFont"/>
    <w:uiPriority w:val="99"/>
    <w:unhideWhenUsed/>
    <w:rsid w:val="009D53E1"/>
    <w:rPr>
      <w:color w:val="467886" w:themeColor="hyperlink"/>
      <w:u w:val="single"/>
    </w:rPr>
  </w:style>
  <w:style w:type="character" w:styleId="UnresolvedMention">
    <w:name w:val="Unresolved Mention"/>
    <w:basedOn w:val="DefaultParagraphFont"/>
    <w:uiPriority w:val="99"/>
    <w:semiHidden/>
    <w:unhideWhenUsed/>
    <w:rsid w:val="009D53E1"/>
    <w:rPr>
      <w:color w:val="605E5C"/>
      <w:shd w:val="clear" w:color="auto" w:fill="E1DFDD"/>
    </w:rPr>
  </w:style>
  <w:style w:type="paragraph" w:customStyle="1" w:styleId="Default">
    <w:name w:val="Default"/>
    <w:rsid w:val="00D419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llowedHyperlink">
    <w:name w:val="FollowedHyperlink"/>
    <w:basedOn w:val="DefaultParagraphFont"/>
    <w:uiPriority w:val="99"/>
    <w:semiHidden/>
    <w:unhideWhenUsed/>
    <w:rsid w:val="00B9170B"/>
    <w:rPr>
      <w:color w:val="96607D" w:themeColor="followedHyperlink"/>
      <w:u w:val="single"/>
    </w:rPr>
  </w:style>
  <w:style w:type="table" w:styleId="TableGrid">
    <w:name w:val="Table Grid"/>
    <w:basedOn w:val="TableNormal"/>
    <w:uiPriority w:val="39"/>
    <w:rsid w:val="00334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1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drop/rp-24-25.pdf" TargetMode="External"/><Relationship Id="rId13" Type="http://schemas.openxmlformats.org/officeDocument/2006/relationships/hyperlink" Target="https://files.consumerfinance.gov/f/documents/cfpb_regulation-cc-threshold-adjustments_final-rule_2024-05.pdf" TargetMode="External"/><Relationship Id="rId18" Type="http://schemas.openxmlformats.org/officeDocument/2006/relationships/hyperlink" Target="https://www.govinfo.gov/content/pkg/FR-2024-12-23/pdf/2024-30653.pdf?utm_campaign=subscription+mailing+list&amp;utm_medium=email&amp;utm_source=federalregister.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info.gov/content/pkg/FR-2024-12-02/pdf/2024-27553.pdf?utm_campaign=subscription+mailing+list&amp;utm_medium=email&amp;utm_source=federalregister.gov" TargetMode="External"/><Relationship Id="rId7" Type="http://schemas.openxmlformats.org/officeDocument/2006/relationships/hyperlink" Target="https://www.govinfo.gov/content/pkg/FR-2024-12-02/pdf/2024-27553.pdf?utm_campaign=subscription+mailing+list&amp;utm_medium=email&amp;utm_source=federalregister.gov" TargetMode="External"/><Relationship Id="rId12" Type="http://schemas.openxmlformats.org/officeDocument/2006/relationships/hyperlink" Target="https://www.federalregister.gov/documents/2024/11/20/2024-26981/reserve-requirements-of-depository-institutions" TargetMode="External"/><Relationship Id="rId17" Type="http://schemas.openxmlformats.org/officeDocument/2006/relationships/hyperlink" Target="https://www.federalregister.gov/documents/2024/10/15/2024-23277/appraisals-for-higher-priced-mortgage-loans-exemption-threshol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cc.gov/publications-and-resources/publications/comptrollers-handbook/files/payment-sys-funds-transfer-activities/pub-ch-payment-systems.pdf" TargetMode="External"/><Relationship Id="rId20" Type="http://schemas.openxmlformats.org/officeDocument/2006/relationships/hyperlink" Target="https://www.govinfo.gov/content/pkg/FR-2024-12-02/pdf/2024-27553.pdf?utm_campaign=subscription+mailing+list&amp;utm_medium=email&amp;utm_source=federalregister.gov" TargetMode="External"/><Relationship Id="rId1" Type="http://schemas.openxmlformats.org/officeDocument/2006/relationships/numbering" Target="numbering.xml"/><Relationship Id="rId6" Type="http://schemas.openxmlformats.org/officeDocument/2006/relationships/hyperlink" Target="https://www.federalregister.gov/documents/2024/12/02/2024-27553/truth-in-lending-regulation-z-annual-threshold-adjustments-credit-cards-hoepa-and-qualified" TargetMode="External"/><Relationship Id="rId11" Type="http://schemas.openxmlformats.org/officeDocument/2006/relationships/hyperlink" Target="https://files.consumerfinance.gov/f/documents/cfpb_HMDA-Threshold-Adjustment-Final-Rule-to-Doc-Owner_2024-12.pdf" TargetMode="External"/><Relationship Id="rId24" Type="http://schemas.openxmlformats.org/officeDocument/2006/relationships/hyperlink" Target="https://www.federalregister.gov/documents/2024/11/20/2024-26981/reserve-requirements-of-depository-institutions" TargetMode="External"/><Relationship Id="rId5" Type="http://schemas.openxmlformats.org/officeDocument/2006/relationships/hyperlink" Target="https://www.federalregister.gov/documents/2024/10/15/2024-23277/appraisals-for-higher-priced-mortgage-loans-exemption-threshold" TargetMode="External"/><Relationship Id="rId15" Type="http://schemas.openxmlformats.org/officeDocument/2006/relationships/hyperlink" Target="https://files.consumerfinance.gov/f/documents/cfpb_regulation-cc-threshold-adjustments_final-rule_2024-05.pdf" TargetMode="External"/><Relationship Id="rId23" Type="http://schemas.openxmlformats.org/officeDocument/2006/relationships/hyperlink" Target="https://www.govinfo.gov/content/pkg/FR-2024-12-02/pdf/2024-27553.pdf?utm_campaign=subscription+mailing+list&amp;utm_medium=email&amp;utm_source=federalregister.gov" TargetMode="External"/><Relationship Id="rId10" Type="http://schemas.openxmlformats.org/officeDocument/2006/relationships/hyperlink" Target="https://www.govinfo.gov/content/pkg/FR-2024-12-23/pdf/2024-30653.pdf?utm_campaign=subscription+mailing+list&amp;utm_medium=email&amp;utm_source=federalregister.gov" TargetMode="External"/><Relationship Id="rId19" Type="http://schemas.openxmlformats.org/officeDocument/2006/relationships/hyperlink" Target="https://www.govinfo.gov/content/pkg/FR-2024-12-02/pdf/2024-27553.pdf?utm_campaign=subscription+mailing+list&amp;utm_medium=email&amp;utm_source=federalregister.gov" TargetMode="External"/><Relationship Id="rId4" Type="http://schemas.openxmlformats.org/officeDocument/2006/relationships/webSettings" Target="webSettings.xml"/><Relationship Id="rId9" Type="http://schemas.openxmlformats.org/officeDocument/2006/relationships/hyperlink" Target="https://www.federalregister.gov/documents/2024/10/15/2024-23275/truth-in-lending-regulation-z" TargetMode="External"/><Relationship Id="rId14" Type="http://schemas.openxmlformats.org/officeDocument/2006/relationships/hyperlink" Target="https://www.irs.gov/pub/irs-drop/rp-24-25.pdf" TargetMode="External"/><Relationship Id="rId22" Type="http://schemas.openxmlformats.org/officeDocument/2006/relationships/hyperlink" Target="https://files.consumerfinance.gov/f/documents/cfpb_HMDA-Threshold-Adjustment-Final-Rule-to-Doc-Owner_2024-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1881</TotalTime>
  <Pages>5</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110</cp:revision>
  <dcterms:created xsi:type="dcterms:W3CDTF">2024-12-02T13:35:00Z</dcterms:created>
  <dcterms:modified xsi:type="dcterms:W3CDTF">2024-12-30T12:24:00Z</dcterms:modified>
</cp:coreProperties>
</file>